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D15" w:rsidRPr="00485DA8" w:rsidRDefault="00DE0F6D" w:rsidP="004640E1">
      <w:pPr>
        <w:rPr>
          <w:rFonts w:cs="Calibri"/>
        </w:rPr>
      </w:pPr>
      <w:bookmarkStart w:id="0" w:name="_GoBack"/>
      <w:bookmarkEnd w:id="0"/>
      <w:r w:rsidRPr="00485DA8">
        <w:rPr>
          <w:noProof/>
        </w:rPr>
        <w:drawing>
          <wp:anchor distT="0" distB="0" distL="114300" distR="114300" simplePos="0" relativeHeight="251663872" behindDoc="0" locked="0" layoutInCell="1" allowOverlap="1">
            <wp:simplePos x="0" y="0"/>
            <wp:positionH relativeFrom="column">
              <wp:posOffset>4918710</wp:posOffset>
            </wp:positionH>
            <wp:positionV relativeFrom="paragraph">
              <wp:posOffset>-61595</wp:posOffset>
            </wp:positionV>
            <wp:extent cx="1047750" cy="1181100"/>
            <wp:effectExtent l="19050" t="0" r="0" b="0"/>
            <wp:wrapSquare wrapText="bothSides"/>
            <wp:docPr id="1" name="Picture 1" descr="C:\Documents and Settings\andrea.chiavetta\Desktop\Documenti\Project\GP Vicenza\Varie\Logo_RegioneVene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drea.chiavetta\Desktop\Documenti\Project\GP Vicenza\Varie\Logo_RegioneVeneto.jpeg"/>
                    <pic:cNvPicPr>
                      <a:picLocks noChangeAspect="1" noChangeArrowheads="1"/>
                    </pic:cNvPicPr>
                  </pic:nvPicPr>
                  <pic:blipFill>
                    <a:blip r:embed="rId9"/>
                    <a:srcRect/>
                    <a:stretch>
                      <a:fillRect/>
                    </a:stretch>
                  </pic:blipFill>
                  <pic:spPr bwMode="auto">
                    <a:xfrm>
                      <a:off x="0" y="0"/>
                      <a:ext cx="1047750" cy="1181100"/>
                    </a:xfrm>
                    <a:prstGeom prst="rect">
                      <a:avLst/>
                    </a:prstGeom>
                    <a:noFill/>
                    <a:ln w="9525">
                      <a:noFill/>
                      <a:miter lim="800000"/>
                      <a:headEnd/>
                      <a:tailEnd/>
                    </a:ln>
                  </pic:spPr>
                </pic:pic>
              </a:graphicData>
            </a:graphic>
          </wp:anchor>
        </w:drawing>
      </w:r>
      <w:r w:rsidRPr="00485DA8">
        <w:rPr>
          <w:noProof/>
        </w:rPr>
        <w:drawing>
          <wp:anchor distT="0" distB="0" distL="114300" distR="114300" simplePos="0" relativeHeight="251656704" behindDoc="0" locked="0" layoutInCell="1" allowOverlap="1">
            <wp:simplePos x="0" y="0"/>
            <wp:positionH relativeFrom="column">
              <wp:posOffset>2918460</wp:posOffset>
            </wp:positionH>
            <wp:positionV relativeFrom="paragraph">
              <wp:posOffset>52705</wp:posOffset>
            </wp:positionV>
            <wp:extent cx="1981200" cy="895350"/>
            <wp:effectExtent l="19050" t="0" r="0" b="0"/>
            <wp:wrapSquare wrapText="bothSides"/>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1981200" cy="895350"/>
                    </a:xfrm>
                    <a:prstGeom prst="rect">
                      <a:avLst/>
                    </a:prstGeom>
                    <a:noFill/>
                  </pic:spPr>
                </pic:pic>
              </a:graphicData>
            </a:graphic>
          </wp:anchor>
        </w:drawing>
      </w:r>
      <w:r w:rsidRPr="00485DA8">
        <w:rPr>
          <w:noProof/>
        </w:rPr>
        <w:drawing>
          <wp:anchor distT="0" distB="0" distL="114300" distR="114300" simplePos="0" relativeHeight="251657728" behindDoc="0" locked="0" layoutInCell="1" allowOverlap="1">
            <wp:simplePos x="0" y="0"/>
            <wp:positionH relativeFrom="column">
              <wp:posOffset>1280160</wp:posOffset>
            </wp:positionH>
            <wp:positionV relativeFrom="paragraph">
              <wp:posOffset>33655</wp:posOffset>
            </wp:positionV>
            <wp:extent cx="1524000" cy="1009650"/>
            <wp:effectExtent l="19050" t="0" r="0" b="0"/>
            <wp:wrapSquare wrapText="bothSides"/>
            <wp:docPr id="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a:srcRect/>
                    <a:stretch>
                      <a:fillRect/>
                    </a:stretch>
                  </pic:blipFill>
                  <pic:spPr bwMode="auto">
                    <a:xfrm>
                      <a:off x="0" y="0"/>
                      <a:ext cx="1524000" cy="1009650"/>
                    </a:xfrm>
                    <a:prstGeom prst="rect">
                      <a:avLst/>
                    </a:prstGeom>
                    <a:noFill/>
                  </pic:spPr>
                </pic:pic>
              </a:graphicData>
            </a:graphic>
          </wp:anchor>
        </w:drawing>
      </w:r>
      <w:r w:rsidRPr="00485DA8">
        <w:rPr>
          <w:noProof/>
        </w:rPr>
        <w:drawing>
          <wp:anchor distT="0" distB="0" distL="114300" distR="114300" simplePos="0" relativeHeight="251658752" behindDoc="0" locked="0" layoutInCell="1" allowOverlap="1">
            <wp:simplePos x="0" y="0"/>
            <wp:positionH relativeFrom="column">
              <wp:posOffset>3810</wp:posOffset>
            </wp:positionH>
            <wp:positionV relativeFrom="paragraph">
              <wp:posOffset>-23495</wp:posOffset>
            </wp:positionV>
            <wp:extent cx="1181100" cy="1085850"/>
            <wp:effectExtent l="19050" t="0" r="0" b="0"/>
            <wp:wrapSquare wrapText="bothSides"/>
            <wp:docPr id="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srcRect/>
                    <a:stretch>
                      <a:fillRect/>
                    </a:stretch>
                  </pic:blipFill>
                  <pic:spPr bwMode="auto">
                    <a:xfrm>
                      <a:off x="0" y="0"/>
                      <a:ext cx="1181100" cy="1085850"/>
                    </a:xfrm>
                    <a:prstGeom prst="rect">
                      <a:avLst/>
                    </a:prstGeom>
                    <a:noFill/>
                  </pic:spPr>
                </pic:pic>
              </a:graphicData>
            </a:graphic>
          </wp:anchor>
        </w:drawing>
      </w:r>
      <w:r w:rsidR="000854C1">
        <w:rPr>
          <w:rFonts w:cs="Calibri"/>
        </w:rPr>
        <w:t xml:space="preserve"> </w:t>
      </w:r>
    </w:p>
    <w:tbl>
      <w:tblPr>
        <w:tblW w:w="5000" w:type="pct"/>
        <w:jc w:val="center"/>
        <w:tblLook w:val="00A0" w:firstRow="1" w:lastRow="0" w:firstColumn="1" w:lastColumn="0" w:noHBand="0" w:noVBand="0"/>
      </w:tblPr>
      <w:tblGrid>
        <w:gridCol w:w="9854"/>
      </w:tblGrid>
      <w:tr w:rsidR="00A56D15" w:rsidRPr="00485DA8" w:rsidTr="00B050D9">
        <w:trPr>
          <w:trHeight w:val="1440"/>
          <w:jc w:val="center"/>
        </w:trPr>
        <w:tc>
          <w:tcPr>
            <w:tcW w:w="5000" w:type="pct"/>
            <w:tcBorders>
              <w:bottom w:val="single" w:sz="4" w:space="0" w:color="4F81BD"/>
            </w:tcBorders>
            <w:vAlign w:val="center"/>
          </w:tcPr>
          <w:p w:rsidR="00715DB0" w:rsidRPr="00485DA8" w:rsidRDefault="00715DB0" w:rsidP="004640E1">
            <w:pPr>
              <w:jc w:val="center"/>
              <w:rPr>
                <w:rFonts w:cs="Calibri"/>
                <w:noProof/>
                <w:sz w:val="4"/>
              </w:rPr>
            </w:pPr>
          </w:p>
          <w:p w:rsidR="00DE0F6D" w:rsidRPr="00485DA8" w:rsidRDefault="00DE0F6D" w:rsidP="004640E1">
            <w:pPr>
              <w:jc w:val="center"/>
              <w:rPr>
                <w:rFonts w:cs="Calibri"/>
                <w:noProof/>
              </w:rPr>
            </w:pPr>
          </w:p>
          <w:p w:rsidR="00A56D15" w:rsidRPr="00485DA8" w:rsidRDefault="00D57A5E" w:rsidP="004640E1">
            <w:pPr>
              <w:jc w:val="center"/>
              <w:rPr>
                <w:rFonts w:cs="Calibri"/>
                <w:noProof/>
              </w:rPr>
            </w:pPr>
            <w:r w:rsidRPr="00485DA8">
              <w:rPr>
                <w:rFonts w:cs="Calibri"/>
                <w:noProof/>
              </w:rPr>
              <w:drawing>
                <wp:anchor distT="0" distB="0" distL="114300" distR="114300" simplePos="0" relativeHeight="251661824" behindDoc="0" locked="0" layoutInCell="1" allowOverlap="1">
                  <wp:simplePos x="0" y="0"/>
                  <wp:positionH relativeFrom="column">
                    <wp:posOffset>2630805</wp:posOffset>
                  </wp:positionH>
                  <wp:positionV relativeFrom="paragraph">
                    <wp:posOffset>-2540</wp:posOffset>
                  </wp:positionV>
                  <wp:extent cx="885825" cy="933450"/>
                  <wp:effectExtent l="19050" t="0" r="9525" b="0"/>
                  <wp:wrapNone/>
                  <wp:docPr id="11" name="Picture 2" descr="C:\Documents and Settings\andrea.chiavetta\Desktop\InnovaGiustizia - Tribunali\Varie\Loghi\180px-Italia-Stem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C:\Documents and Settings\andrea.chiavetta\Desktop\InnovaGiustizia - Tribunali\Varie\Loghi\180px-Italia-Stemma.tif"/>
                          <pic:cNvPicPr>
                            <a:picLocks noChangeAspect="1" noChangeArrowheads="1"/>
                          </pic:cNvPicPr>
                        </pic:nvPicPr>
                        <pic:blipFill>
                          <a:blip r:embed="rId13" cstate="print"/>
                          <a:srcRect l="16931" r="17989" b="31217"/>
                          <a:stretch>
                            <a:fillRect/>
                          </a:stretch>
                        </pic:blipFill>
                        <pic:spPr bwMode="auto">
                          <a:xfrm>
                            <a:off x="0" y="0"/>
                            <a:ext cx="885825" cy="933450"/>
                          </a:xfrm>
                          <a:prstGeom prst="rect">
                            <a:avLst/>
                          </a:prstGeom>
                          <a:noFill/>
                        </pic:spPr>
                      </pic:pic>
                    </a:graphicData>
                  </a:graphic>
                </wp:anchor>
              </w:drawing>
            </w:r>
          </w:p>
          <w:p w:rsidR="00D57A5E" w:rsidRPr="00485DA8" w:rsidRDefault="00D57A5E" w:rsidP="004640E1">
            <w:pPr>
              <w:jc w:val="center"/>
              <w:rPr>
                <w:rFonts w:cs="Calibri"/>
                <w:noProof/>
              </w:rPr>
            </w:pPr>
          </w:p>
          <w:p w:rsidR="00D57A5E" w:rsidRPr="00485DA8" w:rsidRDefault="00D57A5E" w:rsidP="004640E1">
            <w:pPr>
              <w:jc w:val="center"/>
              <w:rPr>
                <w:rFonts w:cs="Calibri"/>
                <w:noProof/>
              </w:rPr>
            </w:pPr>
          </w:p>
          <w:p w:rsidR="00D57A5E" w:rsidRPr="00485DA8" w:rsidRDefault="00D57A5E" w:rsidP="00D57A5E">
            <w:pPr>
              <w:spacing w:after="360"/>
              <w:jc w:val="center"/>
              <w:rPr>
                <w:rFonts w:cs="Calibri"/>
                <w:b/>
                <w:noProof/>
                <w:sz w:val="40"/>
              </w:rPr>
            </w:pPr>
            <w:r w:rsidRPr="00485DA8">
              <w:rPr>
                <w:rFonts w:cs="Calibri"/>
                <w:b/>
                <w:noProof/>
                <w:sz w:val="40"/>
              </w:rPr>
              <w:t>UFFICIO DEL GIUDICE DI PACE DI VICENZA</w:t>
            </w:r>
          </w:p>
        </w:tc>
      </w:tr>
      <w:tr w:rsidR="00A56D15" w:rsidRPr="00485DA8" w:rsidTr="00B050D9">
        <w:trPr>
          <w:trHeight w:val="720"/>
          <w:jc w:val="center"/>
        </w:trPr>
        <w:tc>
          <w:tcPr>
            <w:tcW w:w="5000" w:type="pct"/>
            <w:tcBorders>
              <w:top w:val="single" w:sz="4" w:space="0" w:color="4F81BD"/>
            </w:tcBorders>
            <w:vAlign w:val="center"/>
          </w:tcPr>
          <w:p w:rsidR="00A56D15" w:rsidRPr="009F0C88" w:rsidRDefault="00EF3B4A" w:rsidP="00640159">
            <w:pPr>
              <w:spacing w:before="240"/>
              <w:jc w:val="center"/>
              <w:rPr>
                <w:b/>
                <w:color w:val="00B050"/>
                <w:sz w:val="56"/>
                <w:szCs w:val="72"/>
              </w:rPr>
            </w:pPr>
            <w:r>
              <w:rPr>
                <w:rFonts w:cs="Calibri"/>
                <w:noProof/>
                <w:sz w:val="22"/>
              </w:rPr>
              <mc:AlternateContent>
                <mc:Choice Requires="wps">
                  <w:drawing>
                    <wp:anchor distT="0" distB="0" distL="114300" distR="114300" simplePos="0" relativeHeight="251660800" behindDoc="0" locked="0" layoutInCell="1" allowOverlap="1">
                      <wp:simplePos x="0" y="0"/>
                      <wp:positionH relativeFrom="column">
                        <wp:posOffset>-142875</wp:posOffset>
                      </wp:positionH>
                      <wp:positionV relativeFrom="paragraph">
                        <wp:posOffset>1270</wp:posOffset>
                      </wp:positionV>
                      <wp:extent cx="6336030" cy="0"/>
                      <wp:effectExtent l="15240" t="12065" r="11430" b="1651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1.25pt;margin-top:.1pt;width:498.9pt;height:0;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" strokecolor="#00b050" strokeweight="1.5pt"/>
                  </w:pict>
                </mc:Fallback>
              </mc:AlternateContent>
            </w:r>
            <w:r w:rsidR="00AF5953" w:rsidRPr="00485DA8">
              <w:rPr>
                <w:b/>
                <w:color w:val="00B050"/>
                <w:sz w:val="56"/>
                <w:szCs w:val="72"/>
              </w:rPr>
              <w:t xml:space="preserve">Bilancio di Responsabilità Sociale </w:t>
            </w:r>
            <w:r w:rsidR="00640159">
              <w:rPr>
                <w:b/>
                <w:color w:val="00B050"/>
                <w:sz w:val="56"/>
                <w:szCs w:val="72"/>
              </w:rPr>
              <w:t>Consuntivo</w:t>
            </w:r>
          </w:p>
        </w:tc>
      </w:tr>
    </w:tbl>
    <w:p w:rsidR="00A56D15" w:rsidRPr="00485DA8" w:rsidRDefault="00715DB0" w:rsidP="004640E1">
      <w:pPr>
        <w:rPr>
          <w:rFonts w:cs="Calibri"/>
        </w:rPr>
      </w:pPr>
      <w:r w:rsidRPr="00485DA8">
        <w:rPr>
          <w:rFonts w:cs="Calibri"/>
          <w:noProof/>
        </w:rPr>
        <w:drawing>
          <wp:anchor distT="0" distB="0" distL="114300" distR="114300" simplePos="0" relativeHeight="251662848" behindDoc="0" locked="0" layoutInCell="1" allowOverlap="1">
            <wp:simplePos x="0" y="0"/>
            <wp:positionH relativeFrom="column">
              <wp:posOffset>1162266</wp:posOffset>
            </wp:positionH>
            <wp:positionV relativeFrom="paragraph">
              <wp:posOffset>182173</wp:posOffset>
            </wp:positionV>
            <wp:extent cx="3793825" cy="2838090"/>
            <wp:effectExtent l="19050" t="0" r="0" b="0"/>
            <wp:wrapNone/>
            <wp:docPr id="10" name="Picture 2" descr="C:\Documents and Settings\andrea.chiavetta\Desktop\Documenti\Project\GP Vicenza\Varie\Foto Palazzo di Giustizia Vic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drea.chiavetta\Desktop\Documenti\Project\GP Vicenza\Varie\Foto Palazzo di Giustizia Vicenza.JPG"/>
                    <pic:cNvPicPr>
                      <a:picLocks noChangeAspect="1" noChangeArrowheads="1"/>
                    </pic:cNvPicPr>
                  </pic:nvPicPr>
                  <pic:blipFill>
                    <a:blip r:embed="rId14"/>
                    <a:srcRect/>
                    <a:stretch>
                      <a:fillRect/>
                    </a:stretch>
                  </pic:blipFill>
                  <pic:spPr bwMode="auto">
                    <a:xfrm>
                      <a:off x="0" y="0"/>
                      <a:ext cx="3793825" cy="2838090"/>
                    </a:xfrm>
                    <a:prstGeom prst="rect">
                      <a:avLst/>
                    </a:prstGeom>
                    <a:noFill/>
                    <a:ln w="9525">
                      <a:noFill/>
                      <a:miter lim="800000"/>
                      <a:headEnd/>
                      <a:tailEnd/>
                    </a:ln>
                  </pic:spPr>
                </pic:pic>
              </a:graphicData>
            </a:graphic>
          </wp:anchor>
        </w:drawing>
      </w:r>
    </w:p>
    <w:p w:rsidR="00A56D15" w:rsidRPr="00485DA8" w:rsidRDefault="00A56D15" w:rsidP="004640E1">
      <w:pPr>
        <w:jc w:val="center"/>
        <w:rPr>
          <w:rFonts w:cs="Calibri"/>
          <w:b/>
          <w:bCs/>
          <w:color w:val="00B050"/>
          <w:sz w:val="36"/>
          <w:szCs w:val="28"/>
        </w:rPr>
      </w:pPr>
    </w:p>
    <w:p w:rsidR="00715DB0" w:rsidRPr="00485DA8" w:rsidRDefault="00715DB0" w:rsidP="004640E1">
      <w:pPr>
        <w:jc w:val="center"/>
        <w:rPr>
          <w:rFonts w:cs="Calibri"/>
          <w:b/>
          <w:bCs/>
          <w:color w:val="00B050"/>
          <w:sz w:val="36"/>
          <w:szCs w:val="28"/>
        </w:rPr>
      </w:pPr>
    </w:p>
    <w:p w:rsidR="00715DB0" w:rsidRPr="00485DA8" w:rsidRDefault="00715DB0" w:rsidP="004640E1">
      <w:pPr>
        <w:jc w:val="center"/>
        <w:rPr>
          <w:rFonts w:cs="Calibri"/>
          <w:b/>
          <w:bCs/>
          <w:color w:val="00B050"/>
          <w:sz w:val="36"/>
          <w:szCs w:val="28"/>
        </w:rPr>
      </w:pPr>
    </w:p>
    <w:p w:rsidR="00715DB0" w:rsidRPr="00485DA8" w:rsidRDefault="00715DB0" w:rsidP="004640E1">
      <w:pPr>
        <w:jc w:val="center"/>
        <w:rPr>
          <w:rFonts w:cs="Calibri"/>
          <w:b/>
          <w:bCs/>
          <w:color w:val="00B050"/>
          <w:sz w:val="36"/>
          <w:szCs w:val="28"/>
        </w:rPr>
      </w:pPr>
    </w:p>
    <w:p w:rsidR="0090064F" w:rsidRPr="00485DA8" w:rsidRDefault="0090064F" w:rsidP="004640E1">
      <w:pPr>
        <w:jc w:val="center"/>
        <w:rPr>
          <w:rFonts w:cs="Calibri"/>
          <w:b/>
          <w:bCs/>
          <w:color w:val="00B050"/>
          <w:sz w:val="36"/>
          <w:szCs w:val="28"/>
        </w:rPr>
      </w:pPr>
    </w:p>
    <w:p w:rsidR="00715DB0" w:rsidRPr="00485DA8" w:rsidRDefault="00715DB0" w:rsidP="004640E1">
      <w:pPr>
        <w:jc w:val="center"/>
        <w:rPr>
          <w:rFonts w:cs="Calibri"/>
          <w:b/>
          <w:bCs/>
          <w:color w:val="00B050"/>
          <w:sz w:val="36"/>
          <w:szCs w:val="28"/>
        </w:rPr>
      </w:pPr>
    </w:p>
    <w:p w:rsidR="00715DB0" w:rsidRPr="00485DA8" w:rsidRDefault="00715DB0" w:rsidP="004640E1">
      <w:pPr>
        <w:jc w:val="center"/>
        <w:rPr>
          <w:rFonts w:cs="Calibri"/>
          <w:b/>
          <w:bCs/>
          <w:color w:val="00B050"/>
          <w:sz w:val="36"/>
          <w:szCs w:val="28"/>
        </w:rPr>
      </w:pPr>
    </w:p>
    <w:p w:rsidR="00A56D15" w:rsidRPr="00485DA8" w:rsidRDefault="00EF3B4A" w:rsidP="004640E1">
      <w:pPr>
        <w:jc w:val="center"/>
        <w:rPr>
          <w:rFonts w:cs="Calibri"/>
          <w:b/>
          <w:bCs/>
          <w:color w:val="00B050"/>
          <w:sz w:val="36"/>
          <w:szCs w:val="28"/>
        </w:rPr>
      </w:pPr>
      <w:r>
        <w:rPr>
          <w:noProof/>
        </w:rPr>
        <mc:AlternateContent>
          <mc:Choice Requires="wps">
            <w:drawing>
              <wp:anchor distT="0" distB="0" distL="114300" distR="114300" simplePos="0" relativeHeight="251655680" behindDoc="0" locked="0" layoutInCell="1" allowOverlap="1">
                <wp:simplePos x="0" y="0"/>
                <wp:positionH relativeFrom="column">
                  <wp:posOffset>-1362075</wp:posOffset>
                </wp:positionH>
                <wp:positionV relativeFrom="paragraph">
                  <wp:posOffset>528955</wp:posOffset>
                </wp:positionV>
                <wp:extent cx="8859520" cy="439420"/>
                <wp:effectExtent l="0" t="0" r="36830" b="5588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9520" cy="439420"/>
                        </a:xfrm>
                        <a:prstGeom prst="rect">
                          <a:avLst/>
                        </a:prstGeom>
                        <a:solidFill>
                          <a:srgbClr val="00B050"/>
                        </a:soli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07.25pt;margin-top:41.65pt;width:697.6pt;height:3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" fillcolor="#00b050" strokecolor="#95b3d7" strokeweight="1pt">
                <v:shadow on="t" color="#243f60" opacity=".5" offset="1pt"/>
              </v:rect>
            </w:pict>
          </mc:Fallback>
        </mc:AlternateContent>
      </w:r>
    </w:p>
    <w:p w:rsidR="00A56D15" w:rsidRPr="00485DA8" w:rsidRDefault="00A56D15" w:rsidP="004640E1">
      <w:pPr>
        <w:pStyle w:val="Heading1"/>
        <w:spacing w:before="240" w:line="360" w:lineRule="auto"/>
        <w:rPr>
          <w:rFonts w:cs="Calibri"/>
          <w:b w:val="0"/>
        </w:rPr>
      </w:pPr>
    </w:p>
    <w:p w:rsidR="00A56D15" w:rsidRPr="00485DA8" w:rsidRDefault="00A56D15" w:rsidP="004640E1">
      <w:pPr>
        <w:pStyle w:val="Heading1"/>
        <w:spacing w:before="240" w:line="360" w:lineRule="auto"/>
        <w:rPr>
          <w:rFonts w:cs="Calibri"/>
          <w:b w:val="0"/>
        </w:rPr>
      </w:pPr>
    </w:p>
    <w:p w:rsidR="00A56D15" w:rsidRPr="00485DA8" w:rsidRDefault="00A56D15" w:rsidP="004640E1">
      <w:pPr>
        <w:pStyle w:val="Heading1"/>
        <w:spacing w:before="240" w:line="360" w:lineRule="auto"/>
        <w:rPr>
          <w:rFonts w:cs="Calibri"/>
          <w:b w:val="0"/>
        </w:rPr>
      </w:pPr>
    </w:p>
    <w:p w:rsidR="00A56D15" w:rsidRPr="00485DA8" w:rsidRDefault="00A56D15" w:rsidP="004640E1">
      <w:pPr>
        <w:pStyle w:val="Heading1"/>
        <w:spacing w:before="240" w:line="360" w:lineRule="auto"/>
        <w:rPr>
          <w:rFonts w:cs="Calibri"/>
          <w:b w:val="0"/>
        </w:rPr>
      </w:pPr>
    </w:p>
    <w:p w:rsidR="00A56D15" w:rsidRPr="00485DA8" w:rsidRDefault="00A56D15" w:rsidP="004640E1">
      <w:pPr>
        <w:pStyle w:val="Heading1"/>
        <w:spacing w:before="240" w:line="360" w:lineRule="auto"/>
        <w:rPr>
          <w:rFonts w:cs="Calibri"/>
          <w:b w:val="0"/>
        </w:rPr>
      </w:pPr>
    </w:p>
    <w:p w:rsidR="00A56D15" w:rsidRPr="00485DA8" w:rsidRDefault="00A56D15" w:rsidP="004640E1">
      <w:pPr>
        <w:pStyle w:val="Heading1"/>
        <w:spacing w:before="240" w:line="360" w:lineRule="auto"/>
        <w:rPr>
          <w:rFonts w:cs="Calibri"/>
          <w:b w:val="0"/>
        </w:rPr>
      </w:pPr>
    </w:p>
    <w:p w:rsidR="00A56D15" w:rsidRPr="00485DA8" w:rsidRDefault="00A56D15" w:rsidP="004640E1">
      <w:pPr>
        <w:pStyle w:val="Heading1"/>
        <w:spacing w:before="240" w:line="360" w:lineRule="auto"/>
        <w:rPr>
          <w:rFonts w:cs="Calibri"/>
          <w:b w:val="0"/>
        </w:rPr>
      </w:pPr>
    </w:p>
    <w:p w:rsidR="00A56D15" w:rsidRPr="00485DA8" w:rsidRDefault="00A56D15" w:rsidP="004640E1">
      <w:pPr>
        <w:pStyle w:val="Heading1"/>
        <w:spacing w:before="240" w:line="360" w:lineRule="auto"/>
        <w:rPr>
          <w:rFonts w:cs="Calibri"/>
          <w:b w:val="0"/>
          <w:szCs w:val="22"/>
        </w:rPr>
      </w:pPr>
    </w:p>
    <w:p w:rsidR="00A56D15" w:rsidRPr="00485DA8" w:rsidRDefault="00A56D15" w:rsidP="008D3824">
      <w:pPr>
        <w:rPr>
          <w:rFonts w:cs="Calibri"/>
        </w:rPr>
      </w:pPr>
    </w:p>
    <w:p w:rsidR="00A56D15" w:rsidRPr="00485DA8" w:rsidRDefault="00A56D15" w:rsidP="008D3824">
      <w:pPr>
        <w:rPr>
          <w:rFonts w:cs="Calibri"/>
        </w:rPr>
      </w:pPr>
    </w:p>
    <w:p w:rsidR="00A56D15" w:rsidRPr="00485DA8" w:rsidRDefault="00A56D15" w:rsidP="008D3824">
      <w:pPr>
        <w:rPr>
          <w:rFonts w:cs="Calibri"/>
        </w:rPr>
      </w:pPr>
    </w:p>
    <w:p w:rsidR="00A56D15" w:rsidRPr="00485DA8" w:rsidRDefault="00A56D15" w:rsidP="00B050D9">
      <w:pPr>
        <w:rPr>
          <w:b/>
          <w:bCs/>
          <w:sz w:val="28"/>
        </w:rPr>
      </w:pPr>
      <w:r w:rsidRPr="00485DA8">
        <w:rPr>
          <w:sz w:val="28"/>
        </w:rPr>
        <w:t>Quest</w:t>
      </w:r>
      <w:r w:rsidR="00AF5953" w:rsidRPr="00485DA8">
        <w:rPr>
          <w:sz w:val="28"/>
        </w:rPr>
        <w:t>o Bilancio di Responsabilità Sociale</w:t>
      </w:r>
      <w:r w:rsidRPr="00485DA8">
        <w:rPr>
          <w:sz w:val="28"/>
        </w:rPr>
        <w:t xml:space="preserve"> </w:t>
      </w:r>
      <w:r w:rsidR="00640159">
        <w:rPr>
          <w:sz w:val="28"/>
        </w:rPr>
        <w:t>Consuntivo</w:t>
      </w:r>
      <w:r w:rsidR="00AF5953" w:rsidRPr="00485DA8">
        <w:rPr>
          <w:sz w:val="28"/>
        </w:rPr>
        <w:t xml:space="preserve"> è stata redatto</w:t>
      </w:r>
      <w:r w:rsidRPr="00485DA8">
        <w:rPr>
          <w:sz w:val="28"/>
        </w:rPr>
        <w:t xml:space="preserve"> all’interno del progetto di </w:t>
      </w:r>
      <w:r w:rsidRPr="00485DA8">
        <w:rPr>
          <w:sz w:val="28"/>
          <w:szCs w:val="32"/>
        </w:rPr>
        <w:t>riorganizzazione dei processi lavorativi e di ottimizzazione delle risorse dell’Ufficio del Giudice di Pace di Vicenza,</w:t>
      </w:r>
      <w:r w:rsidRPr="00485DA8">
        <w:rPr>
          <w:sz w:val="28"/>
        </w:rPr>
        <w:t xml:space="preserve"> realizzato </w:t>
      </w:r>
      <w:r w:rsidR="00164F86">
        <w:rPr>
          <w:sz w:val="28"/>
        </w:rPr>
        <w:t xml:space="preserve">grazie alle risorse messe a disposizione dalla Regione Veneto tramite l’utilizzo del Fondo Sociale Europeo 2007-2013 e sviluppato </w:t>
      </w:r>
      <w:r w:rsidRPr="00485DA8">
        <w:rPr>
          <w:sz w:val="28"/>
        </w:rPr>
        <w:t xml:space="preserve">in collaborazione con la </w:t>
      </w:r>
      <w:r w:rsidR="00F74414">
        <w:rPr>
          <w:sz w:val="28"/>
        </w:rPr>
        <w:t>società Ernst &amp; Young Financial-</w:t>
      </w:r>
      <w:r w:rsidRPr="00485DA8">
        <w:rPr>
          <w:sz w:val="28"/>
        </w:rPr>
        <w:t>Business Advisors S.p.A.</w:t>
      </w:r>
    </w:p>
    <w:p w:rsidR="00E90BB7" w:rsidRDefault="00E90BB7" w:rsidP="008D3824">
      <w:pPr>
        <w:rPr>
          <w:rFonts w:cs="Calibri"/>
          <w:b/>
          <w:color w:val="00B050"/>
        </w:rPr>
      </w:pPr>
    </w:p>
    <w:p w:rsidR="00A56D15" w:rsidRPr="00485DA8" w:rsidRDefault="00E90BB7" w:rsidP="008D3824">
      <w:pPr>
        <w:rPr>
          <w:rFonts w:cs="Calibri"/>
          <w:b/>
          <w:color w:val="00B050"/>
        </w:rPr>
      </w:pPr>
      <w:r>
        <w:rPr>
          <w:noProof/>
          <w:sz w:val="28"/>
        </w:rPr>
        <w:drawing>
          <wp:anchor distT="0" distB="0" distL="114300" distR="114300" simplePos="0" relativeHeight="251665920" behindDoc="0" locked="0" layoutInCell="1" allowOverlap="1" wp14:anchorId="1AC35B58" wp14:editId="53940660">
            <wp:simplePos x="0" y="0"/>
            <wp:positionH relativeFrom="column">
              <wp:posOffset>4356735</wp:posOffset>
            </wp:positionH>
            <wp:positionV relativeFrom="paragraph">
              <wp:posOffset>-267335</wp:posOffset>
            </wp:positionV>
            <wp:extent cx="1895475" cy="1028700"/>
            <wp:effectExtent l="19050" t="0" r="9525" b="0"/>
            <wp:wrapNone/>
            <wp:docPr id="14" name="Picture 1" descr="C:\Documents and Settings\andrea.chiavetta\Desktop\Documenti\Varie Desktop\Loghi EY\EY_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drea.chiavetta\Desktop\Documenti\Varie Desktop\Loghi EY\EY_Logo6.jpg"/>
                    <pic:cNvPicPr>
                      <a:picLocks noChangeAspect="1" noChangeArrowheads="1"/>
                    </pic:cNvPicPr>
                  </pic:nvPicPr>
                  <pic:blipFill>
                    <a:blip r:embed="rId15"/>
                    <a:srcRect/>
                    <a:stretch>
                      <a:fillRect/>
                    </a:stretch>
                  </pic:blipFill>
                  <pic:spPr bwMode="auto">
                    <a:xfrm>
                      <a:off x="0" y="0"/>
                      <a:ext cx="1895475" cy="1028700"/>
                    </a:xfrm>
                    <a:prstGeom prst="rect">
                      <a:avLst/>
                    </a:prstGeom>
                    <a:noFill/>
                    <a:ln w="9525">
                      <a:noFill/>
                      <a:miter lim="800000"/>
                      <a:headEnd/>
                      <a:tailEnd/>
                    </a:ln>
                  </pic:spPr>
                </pic:pic>
              </a:graphicData>
            </a:graphic>
          </wp:anchor>
        </w:drawing>
      </w:r>
    </w:p>
    <w:p w:rsidR="00A56D15" w:rsidRPr="00485DA8" w:rsidRDefault="00A56D15" w:rsidP="008D3824">
      <w:pPr>
        <w:rPr>
          <w:rFonts w:cs="Calibri"/>
          <w:b/>
          <w:color w:val="00B050"/>
        </w:rPr>
      </w:pPr>
    </w:p>
    <w:p w:rsidR="00A56D15" w:rsidRPr="00485DA8" w:rsidRDefault="00A56D15" w:rsidP="008D3824">
      <w:pPr>
        <w:rPr>
          <w:rFonts w:cs="Calibri"/>
        </w:rPr>
      </w:pPr>
    </w:p>
    <w:p w:rsidR="00E90BB7" w:rsidRDefault="00E90BB7" w:rsidP="008D3824">
      <w:pPr>
        <w:rPr>
          <w:rFonts w:cs="Calibri"/>
        </w:rPr>
      </w:pPr>
    </w:p>
    <w:p w:rsidR="00A56D15" w:rsidRPr="00485DA8" w:rsidRDefault="00AF5953" w:rsidP="008D3824">
      <w:pPr>
        <w:rPr>
          <w:rFonts w:cs="Calibri"/>
          <w:b/>
          <w:bCs/>
          <w:color w:val="365F91"/>
          <w:sz w:val="28"/>
          <w:szCs w:val="28"/>
        </w:rPr>
      </w:pPr>
      <w:r w:rsidRPr="00485DA8">
        <w:rPr>
          <w:rFonts w:cs="Calibri"/>
        </w:rPr>
        <w:t>La stesura del</w:t>
      </w:r>
      <w:r w:rsidR="00A56D15" w:rsidRPr="00485DA8">
        <w:rPr>
          <w:rFonts w:cs="Calibri"/>
        </w:rPr>
        <w:t xml:space="preserve"> </w:t>
      </w:r>
      <w:r w:rsidRPr="00485DA8">
        <w:rPr>
          <w:rFonts w:cs="Calibri"/>
        </w:rPr>
        <w:t xml:space="preserve">Bilancio di Responsabilità Sociale </w:t>
      </w:r>
      <w:r w:rsidR="00640159">
        <w:rPr>
          <w:rFonts w:cs="Calibri"/>
        </w:rPr>
        <w:t>Consuntivo</w:t>
      </w:r>
      <w:r w:rsidRPr="00485DA8">
        <w:rPr>
          <w:rFonts w:cs="Calibri"/>
        </w:rPr>
        <w:t xml:space="preserve"> è stata realizzata</w:t>
      </w:r>
      <w:r w:rsidR="00A56D15" w:rsidRPr="00485DA8">
        <w:rPr>
          <w:rFonts w:cs="Calibri"/>
        </w:rPr>
        <w:t xml:space="preserve"> gra</w:t>
      </w:r>
      <w:r w:rsidR="00193F40" w:rsidRPr="00485DA8">
        <w:rPr>
          <w:rFonts w:cs="Calibri"/>
        </w:rPr>
        <w:t>zie alla collaborazione d</w:t>
      </w:r>
      <w:r w:rsidR="00164F86">
        <w:rPr>
          <w:rFonts w:cs="Calibri"/>
        </w:rPr>
        <w:t>e</w:t>
      </w:r>
      <w:r w:rsidR="00193F40" w:rsidRPr="00485DA8">
        <w:rPr>
          <w:rFonts w:cs="Calibri"/>
        </w:rPr>
        <w:t xml:space="preserve">i giudici e </w:t>
      </w:r>
      <w:r w:rsidR="00164F86">
        <w:rPr>
          <w:rFonts w:cs="Calibri"/>
        </w:rPr>
        <w:t>del</w:t>
      </w:r>
      <w:r w:rsidR="00A56D15" w:rsidRPr="00485DA8">
        <w:rPr>
          <w:rFonts w:cs="Calibri"/>
        </w:rPr>
        <w:t>le cancellerie dell’Ufficio del Giudice di Pace di Vicenza.</w:t>
      </w:r>
      <w:r w:rsidR="00A56D15" w:rsidRPr="00485DA8">
        <w:rPr>
          <w:rFonts w:cs="Calibri"/>
        </w:rPr>
        <w:br w:type="page"/>
      </w:r>
    </w:p>
    <w:p w:rsidR="00A56D15" w:rsidRPr="00485DA8" w:rsidRDefault="00903D9E" w:rsidP="00B050D9">
      <w:pPr>
        <w:jc w:val="center"/>
        <w:rPr>
          <w:b/>
          <w:color w:val="00B050"/>
          <w:sz w:val="32"/>
        </w:rPr>
      </w:pPr>
      <w:r>
        <w:rPr>
          <w:b/>
          <w:color w:val="00B050"/>
          <w:sz w:val="32"/>
        </w:rPr>
        <w:lastRenderedPageBreak/>
        <w:t>Indice</w:t>
      </w:r>
    </w:p>
    <w:p w:rsidR="00C34E63" w:rsidRDefault="007C1E4D">
      <w:pPr>
        <w:pStyle w:val="TOC1"/>
        <w:tabs>
          <w:tab w:val="right" w:leader="dot" w:pos="9628"/>
        </w:tabs>
        <w:rPr>
          <w:rStyle w:val="Hyperlink"/>
          <w:b/>
          <w:noProof/>
        </w:rPr>
      </w:pPr>
      <w:r w:rsidRPr="00217D12">
        <w:rPr>
          <w:rFonts w:cs="Calibri"/>
          <w:b/>
          <w:bCs/>
          <w:sz w:val="20"/>
          <w:szCs w:val="20"/>
        </w:rPr>
        <w:fldChar w:fldCharType="begin"/>
      </w:r>
      <w:r w:rsidR="00A56D15" w:rsidRPr="00217D12">
        <w:rPr>
          <w:rFonts w:cs="Calibri"/>
          <w:b/>
          <w:bCs/>
          <w:sz w:val="20"/>
          <w:szCs w:val="20"/>
        </w:rPr>
        <w:instrText xml:space="preserve"> TOC \o "1-3" \h \z \u </w:instrText>
      </w:r>
      <w:r w:rsidRPr="00217D12">
        <w:rPr>
          <w:rFonts w:cs="Calibri"/>
          <w:b/>
          <w:bCs/>
          <w:sz w:val="20"/>
          <w:szCs w:val="20"/>
        </w:rPr>
        <w:fldChar w:fldCharType="separate"/>
      </w:r>
      <w:hyperlink w:anchor="_Toc367713334" w:history="1">
        <w:r w:rsidR="00C34E63" w:rsidRPr="00C34E63">
          <w:rPr>
            <w:rStyle w:val="Hyperlink"/>
            <w:b/>
            <w:noProof/>
          </w:rPr>
          <w:t>PRESENTAZIONE</w:t>
        </w:r>
        <w:r w:rsidR="00C34E63" w:rsidRPr="00C34E63">
          <w:rPr>
            <w:b/>
            <w:noProof/>
            <w:webHidden/>
          </w:rPr>
          <w:tab/>
        </w:r>
        <w:r w:rsidR="00C34E63" w:rsidRPr="00C34E63">
          <w:rPr>
            <w:b/>
            <w:noProof/>
            <w:webHidden/>
          </w:rPr>
          <w:fldChar w:fldCharType="begin"/>
        </w:r>
        <w:r w:rsidR="00C34E63" w:rsidRPr="00C34E63">
          <w:rPr>
            <w:b/>
            <w:noProof/>
            <w:webHidden/>
          </w:rPr>
          <w:instrText xml:space="preserve"> PAGEREF _Toc367713334 \h </w:instrText>
        </w:r>
        <w:r w:rsidR="00C34E63" w:rsidRPr="00C34E63">
          <w:rPr>
            <w:b/>
            <w:noProof/>
            <w:webHidden/>
          </w:rPr>
        </w:r>
        <w:r w:rsidR="00C34E63" w:rsidRPr="00C34E63">
          <w:rPr>
            <w:b/>
            <w:noProof/>
            <w:webHidden/>
          </w:rPr>
          <w:fldChar w:fldCharType="separate"/>
        </w:r>
        <w:r w:rsidR="00C34E63" w:rsidRPr="00C34E63">
          <w:rPr>
            <w:b/>
            <w:noProof/>
            <w:webHidden/>
          </w:rPr>
          <w:t>3</w:t>
        </w:r>
        <w:r w:rsidR="00C34E63" w:rsidRPr="00C34E63">
          <w:rPr>
            <w:b/>
            <w:noProof/>
            <w:webHidden/>
          </w:rPr>
          <w:fldChar w:fldCharType="end"/>
        </w:r>
      </w:hyperlink>
    </w:p>
    <w:p w:rsidR="00C34E63" w:rsidRPr="00C34E63" w:rsidRDefault="00C34E63" w:rsidP="00C34E63">
      <w:pPr>
        <w:rPr>
          <w:rFonts w:eastAsiaTheme="minorEastAsia"/>
        </w:rPr>
      </w:pPr>
    </w:p>
    <w:p w:rsidR="00C34E63" w:rsidRPr="00C34E63" w:rsidRDefault="00C84B29">
      <w:pPr>
        <w:pStyle w:val="TOC1"/>
        <w:tabs>
          <w:tab w:val="left" w:pos="440"/>
          <w:tab w:val="right" w:leader="dot" w:pos="9628"/>
        </w:tabs>
        <w:rPr>
          <w:rFonts w:asciiTheme="minorHAnsi" w:eastAsiaTheme="minorEastAsia" w:hAnsiTheme="minorHAnsi" w:cstheme="minorBidi"/>
          <w:b/>
          <w:noProof/>
          <w:sz w:val="22"/>
        </w:rPr>
      </w:pPr>
      <w:hyperlink w:anchor="_Toc367713335" w:history="1">
        <w:r w:rsidR="00C34E63" w:rsidRPr="00C34E63">
          <w:rPr>
            <w:rStyle w:val="Hyperlink"/>
            <w:b/>
            <w:noProof/>
          </w:rPr>
          <w:t>1.</w:t>
        </w:r>
        <w:r w:rsidR="00C34E63" w:rsidRPr="00C34E63">
          <w:rPr>
            <w:rFonts w:asciiTheme="minorHAnsi" w:eastAsiaTheme="minorEastAsia" w:hAnsiTheme="minorHAnsi" w:cstheme="minorBidi"/>
            <w:b/>
            <w:noProof/>
            <w:sz w:val="22"/>
          </w:rPr>
          <w:tab/>
        </w:r>
        <w:r w:rsidR="00C34E63" w:rsidRPr="00C34E63">
          <w:rPr>
            <w:rStyle w:val="Hyperlink"/>
            <w:b/>
            <w:noProof/>
          </w:rPr>
          <w:t>IDENTITÀ DEL GIUDICE DI PACE DI VICENZA</w:t>
        </w:r>
        <w:r w:rsidR="00C34E63" w:rsidRPr="00C34E63">
          <w:rPr>
            <w:b/>
            <w:noProof/>
            <w:webHidden/>
          </w:rPr>
          <w:tab/>
        </w:r>
        <w:r w:rsidR="00C34E63" w:rsidRPr="00C34E63">
          <w:rPr>
            <w:b/>
            <w:noProof/>
            <w:webHidden/>
          </w:rPr>
          <w:fldChar w:fldCharType="begin"/>
        </w:r>
        <w:r w:rsidR="00C34E63" w:rsidRPr="00C34E63">
          <w:rPr>
            <w:b/>
            <w:noProof/>
            <w:webHidden/>
          </w:rPr>
          <w:instrText xml:space="preserve"> PAGEREF _Toc367713335 \h </w:instrText>
        </w:r>
        <w:r w:rsidR="00C34E63" w:rsidRPr="00C34E63">
          <w:rPr>
            <w:b/>
            <w:noProof/>
            <w:webHidden/>
          </w:rPr>
        </w:r>
        <w:r w:rsidR="00C34E63" w:rsidRPr="00C34E63">
          <w:rPr>
            <w:b/>
            <w:noProof/>
            <w:webHidden/>
          </w:rPr>
          <w:fldChar w:fldCharType="separate"/>
        </w:r>
        <w:r w:rsidR="00C34E63" w:rsidRPr="00C34E63">
          <w:rPr>
            <w:b/>
            <w:noProof/>
            <w:webHidden/>
          </w:rPr>
          <w:t>4</w:t>
        </w:r>
        <w:r w:rsidR="00C34E63" w:rsidRPr="00C34E63">
          <w:rPr>
            <w:b/>
            <w:noProof/>
            <w:webHidden/>
          </w:rPr>
          <w:fldChar w:fldCharType="end"/>
        </w:r>
      </w:hyperlink>
    </w:p>
    <w:p w:rsidR="00C34E63" w:rsidRPr="00C34E63" w:rsidRDefault="00C84B29">
      <w:pPr>
        <w:pStyle w:val="TOC2"/>
        <w:rPr>
          <w:rFonts w:asciiTheme="minorHAnsi" w:eastAsiaTheme="minorEastAsia" w:hAnsiTheme="minorHAnsi" w:cstheme="minorBidi"/>
          <w:b/>
          <w:noProof/>
          <w:sz w:val="22"/>
        </w:rPr>
      </w:pPr>
      <w:hyperlink w:anchor="_Toc367713336" w:history="1">
        <w:r w:rsidR="00C34E63" w:rsidRPr="00C34E63">
          <w:rPr>
            <w:rStyle w:val="Hyperlink"/>
            <w:b/>
            <w:noProof/>
          </w:rPr>
          <w:t>1.1.</w:t>
        </w:r>
        <w:r w:rsidR="00C34E63" w:rsidRPr="00C34E63">
          <w:rPr>
            <w:rFonts w:asciiTheme="minorHAnsi" w:eastAsiaTheme="minorEastAsia" w:hAnsiTheme="minorHAnsi" w:cstheme="minorBidi"/>
            <w:b/>
            <w:noProof/>
            <w:sz w:val="22"/>
          </w:rPr>
          <w:tab/>
        </w:r>
        <w:r w:rsidR="00C34E63" w:rsidRPr="00C34E63">
          <w:rPr>
            <w:rStyle w:val="Hyperlink"/>
            <w:b/>
            <w:noProof/>
          </w:rPr>
          <w:t>Il contesto di riferimento</w:t>
        </w:r>
        <w:r w:rsidR="00C34E63" w:rsidRPr="00C34E63">
          <w:rPr>
            <w:b/>
            <w:noProof/>
            <w:webHidden/>
          </w:rPr>
          <w:tab/>
        </w:r>
        <w:r w:rsidR="00C34E63" w:rsidRPr="00C34E63">
          <w:rPr>
            <w:b/>
            <w:noProof/>
            <w:webHidden/>
          </w:rPr>
          <w:fldChar w:fldCharType="begin"/>
        </w:r>
        <w:r w:rsidR="00C34E63" w:rsidRPr="00C34E63">
          <w:rPr>
            <w:b/>
            <w:noProof/>
            <w:webHidden/>
          </w:rPr>
          <w:instrText xml:space="preserve"> PAGEREF _Toc367713336 \h </w:instrText>
        </w:r>
        <w:r w:rsidR="00C34E63" w:rsidRPr="00C34E63">
          <w:rPr>
            <w:b/>
            <w:noProof/>
            <w:webHidden/>
          </w:rPr>
        </w:r>
        <w:r w:rsidR="00C34E63" w:rsidRPr="00C34E63">
          <w:rPr>
            <w:b/>
            <w:noProof/>
            <w:webHidden/>
          </w:rPr>
          <w:fldChar w:fldCharType="separate"/>
        </w:r>
        <w:r w:rsidR="00C34E63" w:rsidRPr="00C34E63">
          <w:rPr>
            <w:b/>
            <w:noProof/>
            <w:webHidden/>
          </w:rPr>
          <w:t>4</w:t>
        </w:r>
        <w:r w:rsidR="00C34E63" w:rsidRPr="00C34E63">
          <w:rPr>
            <w:b/>
            <w:noProof/>
            <w:webHidden/>
          </w:rPr>
          <w:fldChar w:fldCharType="end"/>
        </w:r>
      </w:hyperlink>
    </w:p>
    <w:p w:rsidR="00C34E63" w:rsidRPr="00C34E63" w:rsidRDefault="00C84B29">
      <w:pPr>
        <w:pStyle w:val="TOC2"/>
        <w:rPr>
          <w:rFonts w:asciiTheme="minorHAnsi" w:eastAsiaTheme="minorEastAsia" w:hAnsiTheme="minorHAnsi" w:cstheme="minorBidi"/>
          <w:b/>
          <w:noProof/>
          <w:sz w:val="22"/>
        </w:rPr>
      </w:pPr>
      <w:hyperlink w:anchor="_Toc367713337" w:history="1">
        <w:r w:rsidR="00C34E63" w:rsidRPr="00C34E63">
          <w:rPr>
            <w:rStyle w:val="Hyperlink"/>
            <w:b/>
            <w:noProof/>
          </w:rPr>
          <w:t>1.2.</w:t>
        </w:r>
        <w:r w:rsidR="00C34E63" w:rsidRPr="00C34E63">
          <w:rPr>
            <w:rFonts w:asciiTheme="minorHAnsi" w:eastAsiaTheme="minorEastAsia" w:hAnsiTheme="minorHAnsi" w:cstheme="minorBidi"/>
            <w:b/>
            <w:noProof/>
            <w:sz w:val="22"/>
          </w:rPr>
          <w:tab/>
        </w:r>
        <w:r w:rsidR="00C34E63" w:rsidRPr="00C34E63">
          <w:rPr>
            <w:rStyle w:val="Hyperlink"/>
            <w:b/>
            <w:noProof/>
          </w:rPr>
          <w:t>La struttura organizzativa</w:t>
        </w:r>
        <w:r w:rsidR="00C34E63" w:rsidRPr="00C34E63">
          <w:rPr>
            <w:b/>
            <w:noProof/>
            <w:webHidden/>
          </w:rPr>
          <w:tab/>
        </w:r>
        <w:r w:rsidR="00C34E63" w:rsidRPr="00C34E63">
          <w:rPr>
            <w:b/>
            <w:noProof/>
            <w:webHidden/>
          </w:rPr>
          <w:fldChar w:fldCharType="begin"/>
        </w:r>
        <w:r w:rsidR="00C34E63" w:rsidRPr="00C34E63">
          <w:rPr>
            <w:b/>
            <w:noProof/>
            <w:webHidden/>
          </w:rPr>
          <w:instrText xml:space="preserve"> PAGEREF _Toc367713337 \h </w:instrText>
        </w:r>
        <w:r w:rsidR="00C34E63" w:rsidRPr="00C34E63">
          <w:rPr>
            <w:b/>
            <w:noProof/>
            <w:webHidden/>
          </w:rPr>
        </w:r>
        <w:r w:rsidR="00C34E63" w:rsidRPr="00C34E63">
          <w:rPr>
            <w:b/>
            <w:noProof/>
            <w:webHidden/>
          </w:rPr>
          <w:fldChar w:fldCharType="separate"/>
        </w:r>
        <w:r w:rsidR="00C34E63" w:rsidRPr="00C34E63">
          <w:rPr>
            <w:b/>
            <w:noProof/>
            <w:webHidden/>
          </w:rPr>
          <w:t>5</w:t>
        </w:r>
        <w:r w:rsidR="00C34E63" w:rsidRPr="00C34E63">
          <w:rPr>
            <w:b/>
            <w:noProof/>
            <w:webHidden/>
          </w:rPr>
          <w:fldChar w:fldCharType="end"/>
        </w:r>
      </w:hyperlink>
    </w:p>
    <w:p w:rsidR="00C34E63" w:rsidRDefault="00C34E63">
      <w:pPr>
        <w:pStyle w:val="TOC1"/>
        <w:tabs>
          <w:tab w:val="left" w:pos="440"/>
          <w:tab w:val="right" w:leader="dot" w:pos="9628"/>
        </w:tabs>
        <w:rPr>
          <w:rStyle w:val="Hyperlink"/>
          <w:b/>
          <w:noProof/>
        </w:rPr>
      </w:pPr>
    </w:p>
    <w:p w:rsidR="00C34E63" w:rsidRPr="00C34E63" w:rsidRDefault="00C84B29">
      <w:pPr>
        <w:pStyle w:val="TOC1"/>
        <w:tabs>
          <w:tab w:val="left" w:pos="440"/>
          <w:tab w:val="right" w:leader="dot" w:pos="9628"/>
        </w:tabs>
        <w:rPr>
          <w:rFonts w:asciiTheme="minorHAnsi" w:eastAsiaTheme="minorEastAsia" w:hAnsiTheme="minorHAnsi" w:cstheme="minorBidi"/>
          <w:b/>
          <w:noProof/>
          <w:sz w:val="22"/>
        </w:rPr>
      </w:pPr>
      <w:hyperlink w:anchor="_Toc367713338" w:history="1">
        <w:r w:rsidR="00C34E63" w:rsidRPr="00C34E63">
          <w:rPr>
            <w:rStyle w:val="Hyperlink"/>
            <w:b/>
            <w:noProof/>
          </w:rPr>
          <w:t>2.</w:t>
        </w:r>
        <w:r w:rsidR="00C34E63" w:rsidRPr="00C34E63">
          <w:rPr>
            <w:rFonts w:asciiTheme="minorHAnsi" w:eastAsiaTheme="minorEastAsia" w:hAnsiTheme="minorHAnsi" w:cstheme="minorBidi"/>
            <w:b/>
            <w:noProof/>
            <w:sz w:val="22"/>
          </w:rPr>
          <w:tab/>
        </w:r>
        <w:r w:rsidR="00C34E63" w:rsidRPr="00C34E63">
          <w:rPr>
            <w:rStyle w:val="Hyperlink"/>
            <w:b/>
            <w:noProof/>
          </w:rPr>
          <w:t>ANALISI DEI COSTI DELL’UFFICIO</w:t>
        </w:r>
        <w:r w:rsidR="00C34E63" w:rsidRPr="00C34E63">
          <w:rPr>
            <w:b/>
            <w:noProof/>
            <w:webHidden/>
          </w:rPr>
          <w:tab/>
        </w:r>
        <w:r w:rsidR="00C34E63" w:rsidRPr="00C34E63">
          <w:rPr>
            <w:b/>
            <w:noProof/>
            <w:webHidden/>
          </w:rPr>
          <w:fldChar w:fldCharType="begin"/>
        </w:r>
        <w:r w:rsidR="00C34E63" w:rsidRPr="00C34E63">
          <w:rPr>
            <w:b/>
            <w:noProof/>
            <w:webHidden/>
          </w:rPr>
          <w:instrText xml:space="preserve"> PAGEREF _Toc367713338 \h </w:instrText>
        </w:r>
        <w:r w:rsidR="00C34E63" w:rsidRPr="00C34E63">
          <w:rPr>
            <w:b/>
            <w:noProof/>
            <w:webHidden/>
          </w:rPr>
        </w:r>
        <w:r w:rsidR="00C34E63" w:rsidRPr="00C34E63">
          <w:rPr>
            <w:b/>
            <w:noProof/>
            <w:webHidden/>
          </w:rPr>
          <w:fldChar w:fldCharType="separate"/>
        </w:r>
        <w:r w:rsidR="00C34E63" w:rsidRPr="00C34E63">
          <w:rPr>
            <w:b/>
            <w:noProof/>
            <w:webHidden/>
          </w:rPr>
          <w:t>10</w:t>
        </w:r>
        <w:r w:rsidR="00C34E63" w:rsidRPr="00C34E63">
          <w:rPr>
            <w:b/>
            <w:noProof/>
            <w:webHidden/>
          </w:rPr>
          <w:fldChar w:fldCharType="end"/>
        </w:r>
      </w:hyperlink>
    </w:p>
    <w:p w:rsidR="00C34E63" w:rsidRDefault="00C34E63">
      <w:pPr>
        <w:pStyle w:val="TOC1"/>
        <w:tabs>
          <w:tab w:val="left" w:pos="440"/>
          <w:tab w:val="right" w:leader="dot" w:pos="9628"/>
        </w:tabs>
        <w:rPr>
          <w:rStyle w:val="Hyperlink"/>
          <w:b/>
          <w:noProof/>
        </w:rPr>
      </w:pPr>
    </w:p>
    <w:p w:rsidR="00C34E63" w:rsidRPr="00C34E63" w:rsidRDefault="00C84B29">
      <w:pPr>
        <w:pStyle w:val="TOC1"/>
        <w:tabs>
          <w:tab w:val="left" w:pos="440"/>
          <w:tab w:val="right" w:leader="dot" w:pos="9628"/>
        </w:tabs>
        <w:rPr>
          <w:rFonts w:asciiTheme="minorHAnsi" w:eastAsiaTheme="minorEastAsia" w:hAnsiTheme="minorHAnsi" w:cstheme="minorBidi"/>
          <w:b/>
          <w:noProof/>
          <w:sz w:val="22"/>
        </w:rPr>
      </w:pPr>
      <w:hyperlink w:anchor="_Toc367713339" w:history="1">
        <w:r w:rsidR="00C34E63" w:rsidRPr="00C34E63">
          <w:rPr>
            <w:rStyle w:val="Hyperlink"/>
            <w:b/>
            <w:noProof/>
          </w:rPr>
          <w:t>3.</w:t>
        </w:r>
        <w:r w:rsidR="00C34E63" w:rsidRPr="00C34E63">
          <w:rPr>
            <w:rFonts w:asciiTheme="minorHAnsi" w:eastAsiaTheme="minorEastAsia" w:hAnsiTheme="minorHAnsi" w:cstheme="minorBidi"/>
            <w:b/>
            <w:noProof/>
            <w:sz w:val="22"/>
          </w:rPr>
          <w:tab/>
        </w:r>
        <w:r w:rsidR="00C34E63" w:rsidRPr="00C34E63">
          <w:rPr>
            <w:rStyle w:val="Hyperlink"/>
            <w:b/>
            <w:noProof/>
          </w:rPr>
          <w:t>MAPPA DEGLI STAKEHOLDER</w:t>
        </w:r>
        <w:r w:rsidR="00C34E63" w:rsidRPr="00C34E63">
          <w:rPr>
            <w:b/>
            <w:noProof/>
            <w:webHidden/>
          </w:rPr>
          <w:tab/>
        </w:r>
        <w:r w:rsidR="00C34E63" w:rsidRPr="00C34E63">
          <w:rPr>
            <w:b/>
            <w:noProof/>
            <w:webHidden/>
          </w:rPr>
          <w:fldChar w:fldCharType="begin"/>
        </w:r>
        <w:r w:rsidR="00C34E63" w:rsidRPr="00C34E63">
          <w:rPr>
            <w:b/>
            <w:noProof/>
            <w:webHidden/>
          </w:rPr>
          <w:instrText xml:space="preserve"> PAGEREF _Toc367713339 \h </w:instrText>
        </w:r>
        <w:r w:rsidR="00C34E63" w:rsidRPr="00C34E63">
          <w:rPr>
            <w:b/>
            <w:noProof/>
            <w:webHidden/>
          </w:rPr>
        </w:r>
        <w:r w:rsidR="00C34E63" w:rsidRPr="00C34E63">
          <w:rPr>
            <w:b/>
            <w:noProof/>
            <w:webHidden/>
          </w:rPr>
          <w:fldChar w:fldCharType="separate"/>
        </w:r>
        <w:r w:rsidR="00C34E63" w:rsidRPr="00C34E63">
          <w:rPr>
            <w:b/>
            <w:noProof/>
            <w:webHidden/>
          </w:rPr>
          <w:t>14</w:t>
        </w:r>
        <w:r w:rsidR="00C34E63" w:rsidRPr="00C34E63">
          <w:rPr>
            <w:b/>
            <w:noProof/>
            <w:webHidden/>
          </w:rPr>
          <w:fldChar w:fldCharType="end"/>
        </w:r>
      </w:hyperlink>
    </w:p>
    <w:p w:rsidR="00C34E63" w:rsidRPr="00C34E63" w:rsidRDefault="00C84B29">
      <w:pPr>
        <w:pStyle w:val="TOC2"/>
        <w:rPr>
          <w:rFonts w:asciiTheme="minorHAnsi" w:eastAsiaTheme="minorEastAsia" w:hAnsiTheme="minorHAnsi" w:cstheme="minorBidi"/>
          <w:b/>
          <w:noProof/>
          <w:sz w:val="22"/>
        </w:rPr>
      </w:pPr>
      <w:hyperlink w:anchor="_Toc367713340" w:history="1">
        <w:r w:rsidR="00C34E63" w:rsidRPr="00C34E63">
          <w:rPr>
            <w:rStyle w:val="Hyperlink"/>
            <w:b/>
            <w:noProof/>
          </w:rPr>
          <w:t>3.1.</w:t>
        </w:r>
        <w:r w:rsidR="00C34E63" w:rsidRPr="00C34E63">
          <w:rPr>
            <w:rFonts w:asciiTheme="minorHAnsi" w:eastAsiaTheme="minorEastAsia" w:hAnsiTheme="minorHAnsi" w:cstheme="minorBidi"/>
            <w:b/>
            <w:noProof/>
            <w:sz w:val="22"/>
          </w:rPr>
          <w:tab/>
        </w:r>
        <w:r w:rsidR="00C34E63" w:rsidRPr="00C34E63">
          <w:rPr>
            <w:rStyle w:val="Hyperlink"/>
            <w:b/>
            <w:noProof/>
          </w:rPr>
          <w:t>Individuazione dei principali stakeholder</w:t>
        </w:r>
        <w:r w:rsidR="00C34E63" w:rsidRPr="00C34E63">
          <w:rPr>
            <w:b/>
            <w:noProof/>
            <w:webHidden/>
          </w:rPr>
          <w:tab/>
        </w:r>
        <w:r w:rsidR="00C34E63" w:rsidRPr="00C34E63">
          <w:rPr>
            <w:b/>
            <w:noProof/>
            <w:webHidden/>
          </w:rPr>
          <w:fldChar w:fldCharType="begin"/>
        </w:r>
        <w:r w:rsidR="00C34E63" w:rsidRPr="00C34E63">
          <w:rPr>
            <w:b/>
            <w:noProof/>
            <w:webHidden/>
          </w:rPr>
          <w:instrText xml:space="preserve"> PAGEREF _Toc367713340 \h </w:instrText>
        </w:r>
        <w:r w:rsidR="00C34E63" w:rsidRPr="00C34E63">
          <w:rPr>
            <w:b/>
            <w:noProof/>
            <w:webHidden/>
          </w:rPr>
        </w:r>
        <w:r w:rsidR="00C34E63" w:rsidRPr="00C34E63">
          <w:rPr>
            <w:b/>
            <w:noProof/>
            <w:webHidden/>
          </w:rPr>
          <w:fldChar w:fldCharType="separate"/>
        </w:r>
        <w:r w:rsidR="00C34E63" w:rsidRPr="00C34E63">
          <w:rPr>
            <w:b/>
            <w:noProof/>
            <w:webHidden/>
          </w:rPr>
          <w:t>14</w:t>
        </w:r>
        <w:r w:rsidR="00C34E63" w:rsidRPr="00C34E63">
          <w:rPr>
            <w:b/>
            <w:noProof/>
            <w:webHidden/>
          </w:rPr>
          <w:fldChar w:fldCharType="end"/>
        </w:r>
      </w:hyperlink>
    </w:p>
    <w:p w:rsidR="00C34E63" w:rsidRPr="00C34E63" w:rsidRDefault="00C84B29">
      <w:pPr>
        <w:pStyle w:val="TOC2"/>
        <w:rPr>
          <w:rFonts w:asciiTheme="minorHAnsi" w:eastAsiaTheme="minorEastAsia" w:hAnsiTheme="minorHAnsi" w:cstheme="minorBidi"/>
          <w:b/>
          <w:noProof/>
          <w:sz w:val="22"/>
        </w:rPr>
      </w:pPr>
      <w:hyperlink w:anchor="_Toc367713341" w:history="1">
        <w:r w:rsidR="00C34E63" w:rsidRPr="00C34E63">
          <w:rPr>
            <w:rStyle w:val="Hyperlink"/>
            <w:b/>
            <w:noProof/>
          </w:rPr>
          <w:t>3.2.</w:t>
        </w:r>
        <w:r w:rsidR="00C34E63" w:rsidRPr="00C34E63">
          <w:rPr>
            <w:rFonts w:asciiTheme="minorHAnsi" w:eastAsiaTheme="minorEastAsia" w:hAnsiTheme="minorHAnsi" w:cstheme="minorBidi"/>
            <w:b/>
            <w:noProof/>
            <w:sz w:val="22"/>
          </w:rPr>
          <w:tab/>
        </w:r>
        <w:r w:rsidR="00C34E63" w:rsidRPr="00C34E63">
          <w:rPr>
            <w:rStyle w:val="Hyperlink"/>
            <w:b/>
            <w:noProof/>
          </w:rPr>
          <w:t>Matrice di pianificazione sociale</w:t>
        </w:r>
        <w:r w:rsidR="00C34E63" w:rsidRPr="00C34E63">
          <w:rPr>
            <w:b/>
            <w:noProof/>
            <w:webHidden/>
          </w:rPr>
          <w:tab/>
        </w:r>
        <w:r w:rsidR="00C34E63" w:rsidRPr="00C34E63">
          <w:rPr>
            <w:b/>
            <w:noProof/>
            <w:webHidden/>
          </w:rPr>
          <w:fldChar w:fldCharType="begin"/>
        </w:r>
        <w:r w:rsidR="00C34E63" w:rsidRPr="00C34E63">
          <w:rPr>
            <w:b/>
            <w:noProof/>
            <w:webHidden/>
          </w:rPr>
          <w:instrText xml:space="preserve"> PAGEREF _Toc367713341 \h </w:instrText>
        </w:r>
        <w:r w:rsidR="00C34E63" w:rsidRPr="00C34E63">
          <w:rPr>
            <w:b/>
            <w:noProof/>
            <w:webHidden/>
          </w:rPr>
        </w:r>
        <w:r w:rsidR="00C34E63" w:rsidRPr="00C34E63">
          <w:rPr>
            <w:b/>
            <w:noProof/>
            <w:webHidden/>
          </w:rPr>
          <w:fldChar w:fldCharType="separate"/>
        </w:r>
        <w:r w:rsidR="00C34E63" w:rsidRPr="00C34E63">
          <w:rPr>
            <w:b/>
            <w:noProof/>
            <w:webHidden/>
          </w:rPr>
          <w:t>16</w:t>
        </w:r>
        <w:r w:rsidR="00C34E63" w:rsidRPr="00C34E63">
          <w:rPr>
            <w:b/>
            <w:noProof/>
            <w:webHidden/>
          </w:rPr>
          <w:fldChar w:fldCharType="end"/>
        </w:r>
      </w:hyperlink>
    </w:p>
    <w:p w:rsidR="00C34E63" w:rsidRDefault="00C34E63">
      <w:pPr>
        <w:pStyle w:val="TOC1"/>
        <w:tabs>
          <w:tab w:val="left" w:pos="440"/>
          <w:tab w:val="right" w:leader="dot" w:pos="9628"/>
        </w:tabs>
        <w:rPr>
          <w:rStyle w:val="Hyperlink"/>
          <w:b/>
          <w:noProof/>
        </w:rPr>
      </w:pPr>
    </w:p>
    <w:p w:rsidR="00C34E63" w:rsidRPr="00C34E63" w:rsidRDefault="00C34E63">
      <w:pPr>
        <w:pStyle w:val="TOC1"/>
        <w:tabs>
          <w:tab w:val="left" w:pos="440"/>
          <w:tab w:val="right" w:leader="dot" w:pos="9628"/>
        </w:tabs>
        <w:rPr>
          <w:rFonts w:asciiTheme="minorHAnsi" w:eastAsiaTheme="minorEastAsia" w:hAnsiTheme="minorHAnsi" w:cstheme="minorBidi"/>
          <w:b/>
          <w:noProof/>
          <w:sz w:val="22"/>
        </w:rPr>
      </w:pPr>
      <w:hyperlink w:anchor="_Toc367713342" w:history="1">
        <w:r w:rsidRPr="00C34E63">
          <w:rPr>
            <w:rStyle w:val="Hyperlink"/>
            <w:b/>
            <w:noProof/>
          </w:rPr>
          <w:t>4.</w:t>
        </w:r>
        <w:r w:rsidRPr="00C34E63">
          <w:rPr>
            <w:rFonts w:asciiTheme="minorHAnsi" w:eastAsiaTheme="minorEastAsia" w:hAnsiTheme="minorHAnsi" w:cstheme="minorBidi"/>
            <w:b/>
            <w:noProof/>
            <w:sz w:val="22"/>
          </w:rPr>
          <w:tab/>
        </w:r>
        <w:r w:rsidRPr="00C34E63">
          <w:rPr>
            <w:rStyle w:val="Hyperlink"/>
            <w:b/>
            <w:noProof/>
          </w:rPr>
          <w:t>ALLEGATI</w:t>
        </w:r>
        <w:r w:rsidRPr="00C34E63">
          <w:rPr>
            <w:b/>
            <w:noProof/>
            <w:webHidden/>
          </w:rPr>
          <w:tab/>
        </w:r>
        <w:r w:rsidRPr="00C34E63">
          <w:rPr>
            <w:b/>
            <w:noProof/>
            <w:webHidden/>
          </w:rPr>
          <w:fldChar w:fldCharType="begin"/>
        </w:r>
        <w:r w:rsidRPr="00C34E63">
          <w:rPr>
            <w:b/>
            <w:noProof/>
            <w:webHidden/>
          </w:rPr>
          <w:instrText xml:space="preserve"> PAGEREF _Toc367713342 \h </w:instrText>
        </w:r>
        <w:r w:rsidRPr="00C34E63">
          <w:rPr>
            <w:b/>
            <w:noProof/>
            <w:webHidden/>
          </w:rPr>
        </w:r>
        <w:r w:rsidRPr="00C34E63">
          <w:rPr>
            <w:b/>
            <w:noProof/>
            <w:webHidden/>
          </w:rPr>
          <w:fldChar w:fldCharType="separate"/>
        </w:r>
        <w:r w:rsidRPr="00C34E63">
          <w:rPr>
            <w:b/>
            <w:noProof/>
            <w:webHidden/>
          </w:rPr>
          <w:t>19</w:t>
        </w:r>
        <w:r w:rsidRPr="00C34E63">
          <w:rPr>
            <w:b/>
            <w:noProof/>
            <w:webHidden/>
          </w:rPr>
          <w:fldChar w:fldCharType="end"/>
        </w:r>
      </w:hyperlink>
    </w:p>
    <w:p w:rsidR="00C34E63" w:rsidRPr="00C34E63" w:rsidRDefault="00C84B29">
      <w:pPr>
        <w:pStyle w:val="TOC2"/>
        <w:rPr>
          <w:rFonts w:asciiTheme="minorHAnsi" w:eastAsiaTheme="minorEastAsia" w:hAnsiTheme="minorHAnsi" w:cstheme="minorBidi"/>
          <w:b/>
          <w:noProof/>
          <w:sz w:val="22"/>
        </w:rPr>
      </w:pPr>
      <w:hyperlink w:anchor="_Toc367713343" w:history="1">
        <w:r w:rsidR="00C34E63" w:rsidRPr="00C34E63">
          <w:rPr>
            <w:rStyle w:val="Hyperlink"/>
            <w:b/>
            <w:noProof/>
          </w:rPr>
          <w:t>4.1.</w:t>
        </w:r>
        <w:r w:rsidR="00C34E63" w:rsidRPr="00C34E63">
          <w:rPr>
            <w:rFonts w:asciiTheme="minorHAnsi" w:eastAsiaTheme="minorEastAsia" w:hAnsiTheme="minorHAnsi" w:cstheme="minorBidi"/>
            <w:b/>
            <w:noProof/>
            <w:sz w:val="22"/>
          </w:rPr>
          <w:tab/>
        </w:r>
        <w:r w:rsidR="00C34E63" w:rsidRPr="00C34E63">
          <w:rPr>
            <w:rStyle w:val="Hyperlink"/>
            <w:b/>
            <w:noProof/>
          </w:rPr>
          <w:t>Comuni del circondario</w:t>
        </w:r>
        <w:r w:rsidR="00C34E63" w:rsidRPr="00C34E63">
          <w:rPr>
            <w:b/>
            <w:noProof/>
            <w:webHidden/>
          </w:rPr>
          <w:tab/>
        </w:r>
        <w:r w:rsidR="00C34E63" w:rsidRPr="00C34E63">
          <w:rPr>
            <w:b/>
            <w:noProof/>
            <w:webHidden/>
          </w:rPr>
          <w:fldChar w:fldCharType="begin"/>
        </w:r>
        <w:r w:rsidR="00C34E63" w:rsidRPr="00C34E63">
          <w:rPr>
            <w:b/>
            <w:noProof/>
            <w:webHidden/>
          </w:rPr>
          <w:instrText xml:space="preserve"> PAGEREF _Toc367713343 \h </w:instrText>
        </w:r>
        <w:r w:rsidR="00C34E63" w:rsidRPr="00C34E63">
          <w:rPr>
            <w:b/>
            <w:noProof/>
            <w:webHidden/>
          </w:rPr>
        </w:r>
        <w:r w:rsidR="00C34E63" w:rsidRPr="00C34E63">
          <w:rPr>
            <w:b/>
            <w:noProof/>
            <w:webHidden/>
          </w:rPr>
          <w:fldChar w:fldCharType="separate"/>
        </w:r>
        <w:r w:rsidR="00C34E63" w:rsidRPr="00C34E63">
          <w:rPr>
            <w:b/>
            <w:noProof/>
            <w:webHidden/>
          </w:rPr>
          <w:t>19</w:t>
        </w:r>
        <w:r w:rsidR="00C34E63" w:rsidRPr="00C34E63">
          <w:rPr>
            <w:b/>
            <w:noProof/>
            <w:webHidden/>
          </w:rPr>
          <w:fldChar w:fldCharType="end"/>
        </w:r>
      </w:hyperlink>
    </w:p>
    <w:p w:rsidR="00C34E63" w:rsidRPr="00C34E63" w:rsidRDefault="00C84B29">
      <w:pPr>
        <w:pStyle w:val="TOC2"/>
        <w:rPr>
          <w:rFonts w:asciiTheme="minorHAnsi" w:eastAsiaTheme="minorEastAsia" w:hAnsiTheme="minorHAnsi" w:cstheme="minorBidi"/>
          <w:b/>
          <w:noProof/>
          <w:sz w:val="22"/>
        </w:rPr>
      </w:pPr>
      <w:hyperlink w:anchor="_Toc367713344" w:history="1">
        <w:r w:rsidR="00C34E63" w:rsidRPr="00C34E63">
          <w:rPr>
            <w:rStyle w:val="Hyperlink"/>
            <w:b/>
            <w:noProof/>
          </w:rPr>
          <w:t>4.2.</w:t>
        </w:r>
        <w:r w:rsidR="00C34E63" w:rsidRPr="00C34E63">
          <w:rPr>
            <w:rFonts w:asciiTheme="minorHAnsi" w:eastAsiaTheme="minorEastAsia" w:hAnsiTheme="minorHAnsi" w:cstheme="minorBidi"/>
            <w:b/>
            <w:noProof/>
            <w:sz w:val="22"/>
          </w:rPr>
          <w:tab/>
        </w:r>
        <w:r w:rsidR="00C34E63" w:rsidRPr="00C34E63">
          <w:rPr>
            <w:rStyle w:val="Hyperlink"/>
            <w:b/>
            <w:noProof/>
          </w:rPr>
          <w:t>Circondario del Giudice di Pace di Vicenza</w:t>
        </w:r>
        <w:r w:rsidR="00C34E63" w:rsidRPr="00C34E63">
          <w:rPr>
            <w:b/>
            <w:noProof/>
            <w:webHidden/>
          </w:rPr>
          <w:tab/>
        </w:r>
        <w:r w:rsidR="00C34E63" w:rsidRPr="00C34E63">
          <w:rPr>
            <w:b/>
            <w:noProof/>
            <w:webHidden/>
          </w:rPr>
          <w:fldChar w:fldCharType="begin"/>
        </w:r>
        <w:r w:rsidR="00C34E63" w:rsidRPr="00C34E63">
          <w:rPr>
            <w:b/>
            <w:noProof/>
            <w:webHidden/>
          </w:rPr>
          <w:instrText xml:space="preserve"> PAGEREF _Toc367713344 \h </w:instrText>
        </w:r>
        <w:r w:rsidR="00C34E63" w:rsidRPr="00C34E63">
          <w:rPr>
            <w:b/>
            <w:noProof/>
            <w:webHidden/>
          </w:rPr>
        </w:r>
        <w:r w:rsidR="00C34E63" w:rsidRPr="00C34E63">
          <w:rPr>
            <w:b/>
            <w:noProof/>
            <w:webHidden/>
          </w:rPr>
          <w:fldChar w:fldCharType="separate"/>
        </w:r>
        <w:r w:rsidR="00C34E63" w:rsidRPr="00C34E63">
          <w:rPr>
            <w:b/>
            <w:noProof/>
            <w:webHidden/>
          </w:rPr>
          <w:t>20</w:t>
        </w:r>
        <w:r w:rsidR="00C34E63" w:rsidRPr="00C34E63">
          <w:rPr>
            <w:b/>
            <w:noProof/>
            <w:webHidden/>
          </w:rPr>
          <w:fldChar w:fldCharType="end"/>
        </w:r>
      </w:hyperlink>
    </w:p>
    <w:p w:rsidR="00C34E63" w:rsidRPr="00C34E63" w:rsidRDefault="00C84B29">
      <w:pPr>
        <w:pStyle w:val="TOC2"/>
        <w:rPr>
          <w:rFonts w:asciiTheme="minorHAnsi" w:eastAsiaTheme="minorEastAsia" w:hAnsiTheme="minorHAnsi" w:cstheme="minorBidi"/>
          <w:b/>
          <w:noProof/>
          <w:sz w:val="22"/>
        </w:rPr>
      </w:pPr>
      <w:hyperlink w:anchor="_Toc367713345" w:history="1">
        <w:r w:rsidR="00C34E63" w:rsidRPr="00C34E63">
          <w:rPr>
            <w:rStyle w:val="Hyperlink"/>
            <w:b/>
            <w:noProof/>
          </w:rPr>
          <w:t>4.3.</w:t>
        </w:r>
        <w:r w:rsidR="00C34E63" w:rsidRPr="00C34E63">
          <w:rPr>
            <w:rFonts w:asciiTheme="minorHAnsi" w:eastAsiaTheme="minorEastAsia" w:hAnsiTheme="minorHAnsi" w:cstheme="minorBidi"/>
            <w:b/>
            <w:noProof/>
            <w:sz w:val="22"/>
          </w:rPr>
          <w:tab/>
        </w:r>
        <w:r w:rsidR="00C34E63" w:rsidRPr="00C34E63">
          <w:rPr>
            <w:rStyle w:val="Hyperlink"/>
            <w:b/>
            <w:noProof/>
          </w:rPr>
          <w:t>Fonti dei dati</w:t>
        </w:r>
        <w:r w:rsidR="00C34E63" w:rsidRPr="00C34E63">
          <w:rPr>
            <w:b/>
            <w:noProof/>
            <w:webHidden/>
          </w:rPr>
          <w:tab/>
        </w:r>
        <w:r w:rsidR="00C34E63" w:rsidRPr="00C34E63">
          <w:rPr>
            <w:b/>
            <w:noProof/>
            <w:webHidden/>
          </w:rPr>
          <w:fldChar w:fldCharType="begin"/>
        </w:r>
        <w:r w:rsidR="00C34E63" w:rsidRPr="00C34E63">
          <w:rPr>
            <w:b/>
            <w:noProof/>
            <w:webHidden/>
          </w:rPr>
          <w:instrText xml:space="preserve"> PAGEREF _Toc367713345 \h </w:instrText>
        </w:r>
        <w:r w:rsidR="00C34E63" w:rsidRPr="00C34E63">
          <w:rPr>
            <w:b/>
            <w:noProof/>
            <w:webHidden/>
          </w:rPr>
        </w:r>
        <w:r w:rsidR="00C34E63" w:rsidRPr="00C34E63">
          <w:rPr>
            <w:b/>
            <w:noProof/>
            <w:webHidden/>
          </w:rPr>
          <w:fldChar w:fldCharType="separate"/>
        </w:r>
        <w:r w:rsidR="00C34E63" w:rsidRPr="00C34E63">
          <w:rPr>
            <w:b/>
            <w:noProof/>
            <w:webHidden/>
          </w:rPr>
          <w:t>20</w:t>
        </w:r>
        <w:r w:rsidR="00C34E63" w:rsidRPr="00C34E63">
          <w:rPr>
            <w:b/>
            <w:noProof/>
            <w:webHidden/>
          </w:rPr>
          <w:fldChar w:fldCharType="end"/>
        </w:r>
      </w:hyperlink>
    </w:p>
    <w:p w:rsidR="00441009" w:rsidRPr="00217D12" w:rsidRDefault="007C1E4D" w:rsidP="003464D8">
      <w:pPr>
        <w:pStyle w:val="TOC1"/>
        <w:tabs>
          <w:tab w:val="right" w:leader="dot" w:pos="9628"/>
        </w:tabs>
        <w:rPr>
          <w:rFonts w:cs="Calibri"/>
          <w:bCs/>
          <w:sz w:val="20"/>
          <w:szCs w:val="20"/>
        </w:rPr>
      </w:pPr>
      <w:r w:rsidRPr="00217D12">
        <w:rPr>
          <w:rFonts w:cs="Calibri"/>
          <w:b/>
          <w:bCs/>
          <w:sz w:val="20"/>
          <w:szCs w:val="20"/>
        </w:rPr>
        <w:fldChar w:fldCharType="end"/>
      </w:r>
    </w:p>
    <w:p w:rsidR="00441009" w:rsidRDefault="00441009">
      <w:pPr>
        <w:spacing w:after="0" w:line="240" w:lineRule="auto"/>
        <w:jc w:val="left"/>
        <w:rPr>
          <w:rFonts w:cs="Calibri"/>
          <w:b/>
          <w:bCs/>
          <w:sz w:val="20"/>
          <w:szCs w:val="20"/>
        </w:rPr>
      </w:pPr>
      <w:r>
        <w:rPr>
          <w:rFonts w:cs="Calibri"/>
          <w:b/>
          <w:bCs/>
          <w:sz w:val="20"/>
          <w:szCs w:val="20"/>
        </w:rPr>
        <w:br w:type="page"/>
      </w:r>
    </w:p>
    <w:p w:rsidR="00A56D15" w:rsidRPr="00485DA8" w:rsidRDefault="008C5AC9" w:rsidP="003464D8">
      <w:pPr>
        <w:pStyle w:val="Heading1"/>
        <w:spacing w:after="240"/>
        <w:jc w:val="center"/>
      </w:pPr>
      <w:bookmarkStart w:id="1" w:name="_Toc367713334"/>
      <w:r w:rsidRPr="00EE0378">
        <w:lastRenderedPageBreak/>
        <w:t>PRESENTAZIONE</w:t>
      </w:r>
      <w:bookmarkEnd w:id="1"/>
    </w:p>
    <w:p w:rsidR="00441009" w:rsidRPr="00EF73D9" w:rsidRDefault="00441009" w:rsidP="00441009">
      <w:bookmarkStart w:id="2" w:name="_Toc280192804"/>
      <w:r w:rsidRPr="00EF73D9">
        <w:t xml:space="preserve">Il Bilancio di Responsabilità Sociale (BRS) </w:t>
      </w:r>
      <w:r>
        <w:t>Consuntivo</w:t>
      </w:r>
      <w:r w:rsidRPr="00EF73D9">
        <w:t xml:space="preserve"> nasce come </w:t>
      </w:r>
      <w:r>
        <w:t>documento di analisi e verifica</w:t>
      </w:r>
      <w:r w:rsidRPr="00EF73D9">
        <w:t xml:space="preserve"> delle attività </w:t>
      </w:r>
      <w:r>
        <w:t>del</w:t>
      </w:r>
      <w:r w:rsidRPr="00EF73D9">
        <w:t xml:space="preserve"> </w:t>
      </w:r>
      <w:r>
        <w:t>Giudice di Pace di Vicenza</w:t>
      </w:r>
      <w:r w:rsidRPr="00EF73D9">
        <w:t xml:space="preserve">. L’obiettivo del documento è </w:t>
      </w:r>
      <w:r>
        <w:t xml:space="preserve">infatti ottenere un riscontro circa il raggiungimento degli obiettivi relativi alle </w:t>
      </w:r>
      <w:r w:rsidRPr="00EF73D9">
        <w:t xml:space="preserve">politiche che il </w:t>
      </w:r>
      <w:r>
        <w:t>Giudice di Pace</w:t>
      </w:r>
      <w:r w:rsidRPr="00EF73D9">
        <w:t xml:space="preserve"> </w:t>
      </w:r>
      <w:r>
        <w:t>ha esplicitato nel precedente documento di preventivazione sociale.</w:t>
      </w:r>
      <w:r w:rsidRPr="00EF73D9">
        <w:t xml:space="preserve"> </w:t>
      </w:r>
    </w:p>
    <w:p w:rsidR="00441009" w:rsidRPr="009E66D1" w:rsidRDefault="00441009" w:rsidP="00441009">
      <w:r w:rsidRPr="009E66D1">
        <w:t>Nel primo paragrafo “</w:t>
      </w:r>
      <w:r w:rsidRPr="00441009">
        <w:rPr>
          <w:b/>
        </w:rPr>
        <w:t>Identità dell’Ufficio</w:t>
      </w:r>
      <w:r>
        <w:t>”, si esplicita la struttura organizzativa e le peculiarità territoriali in cui l’Ufficio opera.</w:t>
      </w:r>
    </w:p>
    <w:p w:rsidR="00441009" w:rsidRDefault="00441009" w:rsidP="00441009">
      <w:r w:rsidRPr="005D3BBC">
        <w:t>Il paragrafo “</w:t>
      </w:r>
      <w:r w:rsidRPr="00441009">
        <w:rPr>
          <w:b/>
        </w:rPr>
        <w:t>Analisi dei costi</w:t>
      </w:r>
      <w:r w:rsidRPr="005D3BBC">
        <w:t>” contiene la rendicontazione delle spese che l’Ufficio ha sostenuto</w:t>
      </w:r>
      <w:r>
        <w:t>.</w:t>
      </w:r>
      <w:r w:rsidRPr="00361653">
        <w:t xml:space="preserve"> </w:t>
      </w:r>
      <w:r w:rsidRPr="005D3BBC">
        <w:t xml:space="preserve">La volontà di predisporre </w:t>
      </w:r>
      <w:r>
        <w:t xml:space="preserve">tale </w:t>
      </w:r>
      <w:r w:rsidRPr="005D3BBC">
        <w:t xml:space="preserve">analisi </w:t>
      </w:r>
      <w:r>
        <w:t>per la valutazione dell’</w:t>
      </w:r>
      <w:r w:rsidRPr="005D3BBC">
        <w:t xml:space="preserve">efficienza e </w:t>
      </w:r>
      <w:r>
        <w:t>dell’</w:t>
      </w:r>
      <w:r w:rsidRPr="005D3BBC">
        <w:t>efficacia dell’Ufficio Giudiziario nasce dalla consapevolezza di come la trasparenza delle Pubbliche Amministrazioni rappresenti un requisito spesso trascurato, in grado tuttavia di costituire il punto di partenza per un agire consapevole volto alla programmazione delle attività e al monitoraggio degli obiettivi che</w:t>
      </w:r>
      <w:r>
        <w:t xml:space="preserve"> ogni organizzazione si propone.</w:t>
      </w:r>
    </w:p>
    <w:p w:rsidR="00441009" w:rsidRDefault="00441009" w:rsidP="00441009">
      <w:r w:rsidRPr="009E66D1">
        <w:t>Il paragrafo “</w:t>
      </w:r>
      <w:r w:rsidRPr="00441009">
        <w:rPr>
          <w:b/>
        </w:rPr>
        <w:t>Mappa degli Stakeholder</w:t>
      </w:r>
      <w:r w:rsidRPr="009E66D1">
        <w:t xml:space="preserve">” fornisce, prima, una descrizione del metodo di identificazione degli interlocutori rilevanti dell’Ufficio Giudiziario e, successivamente, </w:t>
      </w:r>
      <w:r>
        <w:t xml:space="preserve">esplicita il livello di </w:t>
      </w:r>
      <w:r w:rsidRPr="00441009">
        <w:rPr>
          <w:b/>
        </w:rPr>
        <w:t>conseguimento degli impegni assunti nel BRS Preventivo</w:t>
      </w:r>
      <w:r>
        <w:t xml:space="preserve">: a partire dalla </w:t>
      </w:r>
      <w:r w:rsidRPr="009E66D1">
        <w:t>“matrice della pianificazione strategica”</w:t>
      </w:r>
      <w:r>
        <w:t xml:space="preserve"> </w:t>
      </w:r>
      <w:r w:rsidRPr="00EE0378">
        <w:t>(che descrive le politiche dell’Ufficio Giudiziario, i relativi obiettivi, le azioni preventivate per raggiungerli e i soggetti responsabili della relativa attuazione), sono riportati i risultati ottenuti e una valutazione sintetica del livello di avanzamento dei target attesi.</w:t>
      </w:r>
    </w:p>
    <w:p w:rsidR="00E10FFC" w:rsidRDefault="00E10FFC">
      <w:pPr>
        <w:spacing w:after="0" w:line="240" w:lineRule="auto"/>
        <w:jc w:val="left"/>
      </w:pPr>
    </w:p>
    <w:p w:rsidR="00E10FFC" w:rsidRDefault="00E10FFC">
      <w:pPr>
        <w:spacing w:after="0" w:line="240" w:lineRule="auto"/>
        <w:jc w:val="left"/>
      </w:pPr>
    </w:p>
    <w:p w:rsidR="00BC4790" w:rsidRDefault="00BC4790">
      <w:pPr>
        <w:spacing w:after="0" w:line="240" w:lineRule="auto"/>
        <w:jc w:val="left"/>
      </w:pPr>
    </w:p>
    <w:p w:rsidR="00E90BB7" w:rsidRDefault="00E90BB7">
      <w:pPr>
        <w:spacing w:after="0" w:line="240" w:lineRule="auto"/>
        <w:jc w:val="left"/>
      </w:pPr>
    </w:p>
    <w:tbl>
      <w:tblPr>
        <w:tblW w:w="0" w:type="auto"/>
        <w:tblLook w:val="04A0" w:firstRow="1" w:lastRow="0" w:firstColumn="1" w:lastColumn="0" w:noHBand="0" w:noVBand="1"/>
      </w:tblPr>
      <w:tblGrid>
        <w:gridCol w:w="4413"/>
        <w:gridCol w:w="5334"/>
      </w:tblGrid>
      <w:tr w:rsidR="00D97708" w:rsidTr="00D97708">
        <w:tc>
          <w:tcPr>
            <w:tcW w:w="4413" w:type="dxa"/>
          </w:tcPr>
          <w:p w:rsidR="00D97708" w:rsidRDefault="00D97708" w:rsidP="001D4D36">
            <w:pPr>
              <w:spacing w:line="240" w:lineRule="auto"/>
              <w:jc w:val="center"/>
            </w:pPr>
            <w:r>
              <w:t>Il Responsabile delle cancellerie</w:t>
            </w:r>
          </w:p>
          <w:p w:rsidR="00D97708" w:rsidRDefault="00D97708" w:rsidP="001D4D36">
            <w:pPr>
              <w:spacing w:line="312" w:lineRule="auto"/>
              <w:jc w:val="center"/>
            </w:pPr>
            <w:r>
              <w:t>Dr. Emilio Ricciardi</w:t>
            </w:r>
          </w:p>
        </w:tc>
        <w:tc>
          <w:tcPr>
            <w:tcW w:w="5334" w:type="dxa"/>
          </w:tcPr>
          <w:p w:rsidR="00D97708" w:rsidRDefault="00D97708" w:rsidP="001D4D36">
            <w:pPr>
              <w:spacing w:line="240" w:lineRule="auto"/>
              <w:jc w:val="center"/>
            </w:pPr>
            <w:r>
              <w:t>Il Giudice di Pace Coordinatore</w:t>
            </w:r>
          </w:p>
          <w:p w:rsidR="00D97708" w:rsidRDefault="00D97708" w:rsidP="001D4D36">
            <w:pPr>
              <w:spacing w:line="240" w:lineRule="auto"/>
              <w:jc w:val="center"/>
            </w:pPr>
            <w:r>
              <w:t xml:space="preserve">Dr. Massimo </w:t>
            </w:r>
            <w:proofErr w:type="spellStart"/>
            <w:r>
              <w:t>Zampese</w:t>
            </w:r>
            <w:proofErr w:type="spellEnd"/>
          </w:p>
        </w:tc>
      </w:tr>
    </w:tbl>
    <w:p w:rsidR="00441009" w:rsidRDefault="00441009">
      <w:r>
        <w:br w:type="page"/>
      </w:r>
    </w:p>
    <w:p w:rsidR="00A56D15" w:rsidRPr="00485DA8" w:rsidRDefault="00485DA8" w:rsidP="004C1469">
      <w:pPr>
        <w:pStyle w:val="Heading1"/>
        <w:numPr>
          <w:ilvl w:val="0"/>
          <w:numId w:val="1"/>
        </w:numPr>
        <w:ind w:left="426" w:hanging="426"/>
      </w:pPr>
      <w:bookmarkStart w:id="3" w:name="_Toc367713335"/>
      <w:bookmarkEnd w:id="2"/>
      <w:r w:rsidRPr="00485DA8">
        <w:lastRenderedPageBreak/>
        <w:t>IDENTITÀ</w:t>
      </w:r>
      <w:r w:rsidR="00A56D15" w:rsidRPr="00485DA8">
        <w:t xml:space="preserve"> DEL GIUDICE DI PACE DI VICENZA</w:t>
      </w:r>
      <w:bookmarkEnd w:id="3"/>
    </w:p>
    <w:p w:rsidR="00A56D15" w:rsidRDefault="00485DA8" w:rsidP="004C1469">
      <w:pPr>
        <w:pStyle w:val="Heading2"/>
        <w:numPr>
          <w:ilvl w:val="1"/>
          <w:numId w:val="1"/>
        </w:numPr>
        <w:ind w:left="567" w:hanging="567"/>
      </w:pPr>
      <w:bookmarkStart w:id="4" w:name="_Toc367713336"/>
      <w:r w:rsidRPr="00485DA8">
        <w:t xml:space="preserve">Il contesto </w:t>
      </w:r>
      <w:r>
        <w:t>di riferimento</w:t>
      </w:r>
      <w:bookmarkEnd w:id="4"/>
    </w:p>
    <w:p w:rsidR="001D4D36" w:rsidRPr="001D4D36" w:rsidRDefault="00640159" w:rsidP="003A1DF4">
      <w:pPr>
        <w:spacing w:before="240" w:line="360" w:lineRule="auto"/>
      </w:pPr>
      <w:r>
        <w:t>L</w:t>
      </w:r>
      <w:r w:rsidR="001D4D36" w:rsidRPr="001D4D36">
        <w:t>’Ufficio del Giudice di Pace di Vicenza è contestualizzabile all’interno del Circondario di Vicenza</w:t>
      </w:r>
      <w:r w:rsidR="00E10FFC">
        <w:rPr>
          <w:rStyle w:val="FootnoteReference"/>
        </w:rPr>
        <w:footnoteReference w:id="1"/>
      </w:r>
      <w:r w:rsidR="001D4D36" w:rsidRPr="001D4D36">
        <w:t xml:space="preserve"> al quale appartengono 6 Uffici di Giudice di Pace: Arzignano, Lonigo, Schio, Thiene, Valdagno e Vicenza. Tutti gli Uffici Giudiziari della Regione Veneto appartengono alla Corte di Appello di Venezia che, in quanto unica nella Regione, serve 581 comuni che occupano una superficie di 18.399 km</w:t>
      </w:r>
      <w:r w:rsidR="001D4D36" w:rsidRPr="001D4D36">
        <w:rPr>
          <w:vertAlign w:val="superscript"/>
        </w:rPr>
        <w:t>2</w:t>
      </w:r>
      <w:r w:rsidR="001D4D36" w:rsidRPr="001D4D36">
        <w:t>.</w:t>
      </w:r>
    </w:p>
    <w:p w:rsidR="001D4D36" w:rsidRPr="001D4D36" w:rsidRDefault="001D4D36" w:rsidP="003A1DF4">
      <w:pPr>
        <w:spacing w:line="360" w:lineRule="auto"/>
      </w:pPr>
      <w:r w:rsidRPr="001D4D36">
        <w:t xml:space="preserve">L’Ufficio del Giudice di Pace di Vicenza esercita la giurisdizione sul territorio del Comune di Vicenza e di altri 32 comuni limitrofi (vedi Allegato 1). Il bacino d’utenza coperto al </w:t>
      </w:r>
      <w:r w:rsidR="00C57D7E">
        <w:t>01/01/2012</w:t>
      </w:r>
      <w:r w:rsidRPr="001D4D36">
        <w:t xml:space="preserve">, è di </w:t>
      </w:r>
      <w:r w:rsidR="00C57D7E">
        <w:t>297.167</w:t>
      </w:r>
      <w:r w:rsidRPr="001D4D36">
        <w:t xml:space="preserve"> abitanti (pari al 35% di tutta la popolazione della provincia di Vicenza</w:t>
      </w:r>
      <w:r>
        <w:t>) su di un territorio di 628 km</w:t>
      </w:r>
      <w:r w:rsidRPr="001D4D36">
        <w:rPr>
          <w:vertAlign w:val="superscript"/>
        </w:rPr>
        <w:t>2</w:t>
      </w:r>
      <w:r w:rsidRPr="001D4D36">
        <w:t>.</w:t>
      </w:r>
    </w:p>
    <w:p w:rsidR="00A56D15" w:rsidRPr="001D4D36" w:rsidRDefault="001D4D36" w:rsidP="003A1DF4">
      <w:pPr>
        <w:spacing w:line="360" w:lineRule="auto"/>
      </w:pPr>
      <w:r w:rsidRPr="005B5774">
        <w:t xml:space="preserve">In evidenza, nella </w:t>
      </w:r>
      <w:r w:rsidR="00E90BB7">
        <w:fldChar w:fldCharType="begin"/>
      </w:r>
      <w:r w:rsidR="00E90BB7">
        <w:instrText xml:space="preserve"> REF _Ref335663253 \h  \* MERGEFORMAT </w:instrText>
      </w:r>
      <w:r w:rsidR="00E90BB7">
        <w:fldChar w:fldCharType="separate"/>
      </w:r>
      <w:r w:rsidR="00BC4790" w:rsidRPr="00BC4790">
        <w:rPr>
          <w:rFonts w:asciiTheme="minorHAnsi" w:hAnsiTheme="minorHAnsi" w:cstheme="minorHAnsi"/>
        </w:rPr>
        <w:t>Figura 1</w:t>
      </w:r>
      <w:r w:rsidR="00E90BB7">
        <w:fldChar w:fldCharType="end"/>
      </w:r>
      <w:r w:rsidR="005B5774" w:rsidRPr="003A1DF4">
        <w:rPr>
          <w:sz w:val="28"/>
        </w:rPr>
        <w:t xml:space="preserve"> </w:t>
      </w:r>
      <w:r w:rsidRPr="001D4D36">
        <w:t xml:space="preserve">è riportato l’andamento della popolazione dal </w:t>
      </w:r>
      <w:r w:rsidR="00C57D7E" w:rsidRPr="005E5C4C">
        <w:t>2006</w:t>
      </w:r>
      <w:r w:rsidRPr="005E5C4C">
        <w:t xml:space="preserve"> al 201</w:t>
      </w:r>
      <w:r w:rsidR="009A0C7C" w:rsidRPr="005E5C4C">
        <w:t>2</w:t>
      </w:r>
      <w:r w:rsidRPr="005E5C4C">
        <w:t>.</w:t>
      </w:r>
    </w:p>
    <w:p w:rsidR="001D4D36" w:rsidRPr="00E67A5E" w:rsidRDefault="009A0C7C" w:rsidP="00E67A5E">
      <w:pPr>
        <w:pStyle w:val="Caption"/>
        <w:spacing w:after="0" w:line="360" w:lineRule="auto"/>
        <w:rPr>
          <w:rFonts w:asciiTheme="minorHAnsi" w:eastAsia="Times New Roman" w:hAnsiTheme="minorHAnsi" w:cstheme="minorHAnsi"/>
          <w:bCs w:val="0"/>
          <w:i w:val="0"/>
          <w:noProof/>
          <w:szCs w:val="22"/>
          <w:lang w:eastAsia="it-IT"/>
        </w:rPr>
      </w:pPr>
      <w:bookmarkStart w:id="5" w:name="_Ref335663253"/>
      <w:bookmarkStart w:id="6" w:name="_Toc367703945"/>
      <w:r w:rsidRPr="00E67A5E">
        <w:rPr>
          <w:rFonts w:asciiTheme="minorHAnsi" w:eastAsia="Times New Roman" w:hAnsiTheme="minorHAnsi" w:cstheme="minorHAnsi"/>
          <w:bCs w:val="0"/>
          <w:i w:val="0"/>
          <w:noProof/>
          <w:szCs w:val="22"/>
          <w:lang w:eastAsia="it-IT"/>
        </w:rPr>
        <w:t xml:space="preserve">Figura </w:t>
      </w:r>
      <w:r w:rsidR="007C1E4D" w:rsidRPr="00E67A5E">
        <w:rPr>
          <w:rFonts w:asciiTheme="minorHAnsi" w:eastAsia="Times New Roman" w:hAnsiTheme="minorHAnsi" w:cstheme="minorHAnsi"/>
          <w:bCs w:val="0"/>
          <w:i w:val="0"/>
          <w:noProof/>
          <w:szCs w:val="22"/>
          <w:lang w:eastAsia="it-IT"/>
        </w:rPr>
        <w:fldChar w:fldCharType="begin"/>
      </w:r>
      <w:r w:rsidRPr="00E67A5E">
        <w:rPr>
          <w:rFonts w:asciiTheme="minorHAnsi" w:eastAsia="Times New Roman" w:hAnsiTheme="minorHAnsi" w:cstheme="minorHAnsi"/>
          <w:bCs w:val="0"/>
          <w:i w:val="0"/>
          <w:noProof/>
          <w:szCs w:val="22"/>
          <w:lang w:eastAsia="it-IT"/>
        </w:rPr>
        <w:instrText xml:space="preserve"> SEQ Figura \* ARABIC </w:instrText>
      </w:r>
      <w:r w:rsidR="007C1E4D" w:rsidRPr="00E67A5E">
        <w:rPr>
          <w:rFonts w:asciiTheme="minorHAnsi" w:eastAsia="Times New Roman" w:hAnsiTheme="minorHAnsi" w:cstheme="minorHAnsi"/>
          <w:bCs w:val="0"/>
          <w:i w:val="0"/>
          <w:noProof/>
          <w:szCs w:val="22"/>
          <w:lang w:eastAsia="it-IT"/>
        </w:rPr>
        <w:fldChar w:fldCharType="separate"/>
      </w:r>
      <w:r w:rsidR="00BC4790">
        <w:rPr>
          <w:rFonts w:asciiTheme="minorHAnsi" w:eastAsia="Times New Roman" w:hAnsiTheme="minorHAnsi" w:cstheme="minorHAnsi"/>
          <w:bCs w:val="0"/>
          <w:i w:val="0"/>
          <w:noProof/>
          <w:szCs w:val="22"/>
          <w:lang w:eastAsia="it-IT"/>
        </w:rPr>
        <w:t>1</w:t>
      </w:r>
      <w:r w:rsidR="007C1E4D" w:rsidRPr="00E67A5E">
        <w:rPr>
          <w:rFonts w:asciiTheme="minorHAnsi" w:eastAsia="Times New Roman" w:hAnsiTheme="minorHAnsi" w:cstheme="minorHAnsi"/>
          <w:bCs w:val="0"/>
          <w:i w:val="0"/>
          <w:noProof/>
          <w:szCs w:val="22"/>
          <w:lang w:eastAsia="it-IT"/>
        </w:rPr>
        <w:fldChar w:fldCharType="end"/>
      </w:r>
      <w:bookmarkEnd w:id="5"/>
      <w:r w:rsidRPr="00E67A5E">
        <w:rPr>
          <w:rFonts w:asciiTheme="minorHAnsi" w:eastAsia="Times New Roman" w:hAnsiTheme="minorHAnsi" w:cstheme="minorHAnsi"/>
          <w:bCs w:val="0"/>
          <w:i w:val="0"/>
          <w:noProof/>
          <w:szCs w:val="22"/>
          <w:lang w:eastAsia="it-IT"/>
        </w:rPr>
        <w:t xml:space="preserve"> - Abitanti del Circondario del Giudice di Pace di Vicenza</w:t>
      </w:r>
      <w:bookmarkEnd w:id="6"/>
    </w:p>
    <w:p w:rsidR="009A0C7C" w:rsidRDefault="00C57D7E" w:rsidP="00C57D7E">
      <w:pPr>
        <w:jc w:val="center"/>
        <w:rPr>
          <w:rFonts w:asciiTheme="minorHAnsi" w:hAnsiTheme="minorHAnsi" w:cstheme="minorHAnsi"/>
          <w:b/>
          <w:sz w:val="22"/>
        </w:rPr>
      </w:pPr>
      <w:r w:rsidRPr="00C57D7E">
        <w:rPr>
          <w:rFonts w:asciiTheme="minorHAnsi" w:hAnsiTheme="minorHAnsi" w:cstheme="minorHAnsi"/>
          <w:b/>
          <w:noProof/>
          <w:sz w:val="22"/>
        </w:rPr>
        <w:drawing>
          <wp:inline distT="0" distB="0" distL="0" distR="0">
            <wp:extent cx="3533775" cy="2085975"/>
            <wp:effectExtent l="19050" t="0" r="952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4D36" w:rsidRPr="001D4D36" w:rsidRDefault="001D4D36" w:rsidP="003A1DF4">
      <w:pPr>
        <w:spacing w:line="360" w:lineRule="auto"/>
      </w:pPr>
      <w:r w:rsidRPr="001D4D36">
        <w:t xml:space="preserve">Dal diagramma si rileva un </w:t>
      </w:r>
      <w:r w:rsidR="00B807B2">
        <w:t xml:space="preserve">decremento </w:t>
      </w:r>
      <w:r w:rsidRPr="001D4D36">
        <w:t xml:space="preserve">della popolazione </w:t>
      </w:r>
      <w:r w:rsidR="00B807B2">
        <w:t>dell’1% tra l’inizio del 2011 e l’inizio 2012.</w:t>
      </w:r>
    </w:p>
    <w:p w:rsidR="00A56D15" w:rsidRDefault="001D4D36" w:rsidP="003A1DF4">
      <w:pPr>
        <w:spacing w:line="360" w:lineRule="auto"/>
      </w:pPr>
      <w:r w:rsidRPr="001D4D36">
        <w:t>La popolazione fa riferimento al comune vicentino, che da solo contribuisce al 38% del valore della popolazione, e degli altri 32 comuni limitrofi appartenenti al Circondario del Giudice di Pace di Vicenza.</w:t>
      </w:r>
    </w:p>
    <w:p w:rsidR="00A56D15" w:rsidRDefault="00485DA8" w:rsidP="004C1469">
      <w:pPr>
        <w:pStyle w:val="Heading2"/>
        <w:numPr>
          <w:ilvl w:val="1"/>
          <w:numId w:val="1"/>
        </w:numPr>
        <w:ind w:left="567" w:hanging="567"/>
      </w:pPr>
      <w:bookmarkStart w:id="7" w:name="_Toc367713337"/>
      <w:r>
        <w:lastRenderedPageBreak/>
        <w:t>La struttura organizzativa</w:t>
      </w:r>
      <w:bookmarkEnd w:id="7"/>
    </w:p>
    <w:p w:rsidR="009A0C7C" w:rsidRPr="003A1DF4" w:rsidRDefault="009A0C7C" w:rsidP="003A1DF4">
      <w:pPr>
        <w:spacing w:before="240" w:after="120" w:line="360" w:lineRule="auto"/>
        <w:rPr>
          <w:rFonts w:asciiTheme="minorHAnsi" w:hAnsiTheme="minorHAnsi" w:cstheme="minorHAnsi"/>
          <w:szCs w:val="24"/>
        </w:rPr>
      </w:pPr>
      <w:r w:rsidRPr="003A1DF4">
        <w:rPr>
          <w:rFonts w:asciiTheme="minorHAnsi" w:hAnsiTheme="minorHAnsi" w:cstheme="minorHAnsi"/>
          <w:szCs w:val="24"/>
        </w:rPr>
        <w:t>A livello organizzativo il Giudice di Pace di Vicenza è caratterizzato da una struttura</w:t>
      </w:r>
      <w:r w:rsidR="00917645">
        <w:rPr>
          <w:rFonts w:asciiTheme="minorHAnsi" w:hAnsiTheme="minorHAnsi" w:cstheme="minorHAnsi"/>
          <w:szCs w:val="24"/>
        </w:rPr>
        <w:t xml:space="preserve">, in cui </w:t>
      </w:r>
      <w:r w:rsidRPr="003A1DF4">
        <w:rPr>
          <w:rFonts w:asciiTheme="minorHAnsi" w:hAnsiTheme="minorHAnsi" w:cstheme="minorHAnsi"/>
          <w:szCs w:val="24"/>
        </w:rPr>
        <w:t>due diverse tipologie di professionalità coesistono: i giudici, da un lato, il personale amministrativo, dall’altro. I ruoli sono tendenzialmente associati alle attività esercitate: i giudici, eseguono le attività giurisdizionali, il personale amministrativo cura le attività di supporto. I vertici di questa struttura son</w:t>
      </w:r>
      <w:r w:rsidR="00917645">
        <w:rPr>
          <w:rFonts w:asciiTheme="minorHAnsi" w:hAnsiTheme="minorHAnsi" w:cstheme="minorHAnsi"/>
          <w:szCs w:val="24"/>
        </w:rPr>
        <w:t xml:space="preserve">o rappresentati da una parte dal </w:t>
      </w:r>
      <w:r w:rsidRPr="003A1DF4">
        <w:rPr>
          <w:rFonts w:asciiTheme="minorHAnsi" w:hAnsiTheme="minorHAnsi" w:cstheme="minorHAnsi"/>
          <w:szCs w:val="24"/>
        </w:rPr>
        <w:t>giudice coordinatore che ha funzioni di gestione e organizzazione delle attività che si svolgono attraverso i diversi giudici all’interno dell’Ufficio, e dall’altra parte da un funzionario pubblico responsabile delle cancellerie civili e penali e con responsabilità di gestione del personale amministrativo di propria competenza.</w:t>
      </w:r>
    </w:p>
    <w:p w:rsidR="009A0C7C" w:rsidRPr="003A1DF4" w:rsidRDefault="009A0C7C" w:rsidP="009A0C7C">
      <w:pPr>
        <w:spacing w:after="120" w:line="360" w:lineRule="auto"/>
        <w:rPr>
          <w:rFonts w:asciiTheme="minorHAnsi" w:hAnsiTheme="minorHAnsi" w:cstheme="minorHAnsi"/>
          <w:szCs w:val="24"/>
        </w:rPr>
      </w:pPr>
      <w:r w:rsidRPr="003A1DF4">
        <w:rPr>
          <w:rFonts w:asciiTheme="minorHAnsi" w:hAnsiTheme="minorHAnsi" w:cstheme="minorHAnsi"/>
          <w:szCs w:val="24"/>
        </w:rPr>
        <w:t>Come spesso accade quando si hanno forti interdipendenze,</w:t>
      </w:r>
      <w:r w:rsidR="006013F0">
        <w:rPr>
          <w:rFonts w:asciiTheme="minorHAnsi" w:hAnsiTheme="minorHAnsi" w:cstheme="minorHAnsi"/>
          <w:szCs w:val="24"/>
        </w:rPr>
        <w:t xml:space="preserve"> anche</w:t>
      </w:r>
      <w:r w:rsidRPr="003A1DF4">
        <w:rPr>
          <w:rFonts w:asciiTheme="minorHAnsi" w:hAnsiTheme="minorHAnsi" w:cstheme="minorHAnsi"/>
          <w:szCs w:val="24"/>
        </w:rPr>
        <w:t xml:space="preserve"> in questo caso </w:t>
      </w:r>
      <w:r w:rsidR="006013F0">
        <w:rPr>
          <w:rFonts w:asciiTheme="minorHAnsi" w:hAnsiTheme="minorHAnsi" w:cstheme="minorHAnsi"/>
          <w:szCs w:val="24"/>
        </w:rPr>
        <w:t xml:space="preserve">in cui </w:t>
      </w:r>
      <w:r w:rsidRPr="003A1DF4">
        <w:rPr>
          <w:rFonts w:asciiTheme="minorHAnsi" w:hAnsiTheme="minorHAnsi" w:cstheme="minorHAnsi"/>
          <w:szCs w:val="24"/>
        </w:rPr>
        <w:t xml:space="preserve">è previsto l’intervento congiunto nelle diverse fasi tra </w:t>
      </w:r>
      <w:r w:rsidR="00310A75">
        <w:rPr>
          <w:rFonts w:asciiTheme="minorHAnsi" w:hAnsiTheme="minorHAnsi" w:cstheme="minorHAnsi"/>
          <w:szCs w:val="24"/>
        </w:rPr>
        <w:t xml:space="preserve">giudicanti </w:t>
      </w:r>
      <w:r w:rsidRPr="003A1DF4">
        <w:rPr>
          <w:rFonts w:asciiTheme="minorHAnsi" w:hAnsiTheme="minorHAnsi" w:cstheme="minorHAnsi"/>
          <w:szCs w:val="24"/>
        </w:rPr>
        <w:t>e personale amministrativo, i risultati dei processi di lavoro ed, in particolare, i tempi di attraversamento dei vari uffici dipendono fortemente dalla efficace cooperazione che si realizza tra i diversi livelli organizzativi.</w:t>
      </w:r>
    </w:p>
    <w:p w:rsidR="0055665D" w:rsidRDefault="0055665D" w:rsidP="003A1DF4">
      <w:pPr>
        <w:keepNext/>
        <w:spacing w:before="240" w:after="240"/>
        <w:rPr>
          <w:rFonts w:asciiTheme="minorHAnsi" w:hAnsiTheme="minorHAnsi" w:cstheme="minorHAnsi"/>
          <w:b/>
          <w:bCs/>
          <w:i/>
          <w:szCs w:val="24"/>
        </w:rPr>
      </w:pPr>
    </w:p>
    <w:p w:rsidR="009A0C7C" w:rsidRPr="003A1DF4" w:rsidRDefault="009A0C7C" w:rsidP="003A1DF4">
      <w:pPr>
        <w:keepNext/>
        <w:spacing w:before="240" w:after="240"/>
        <w:rPr>
          <w:rFonts w:asciiTheme="minorHAnsi" w:hAnsiTheme="minorHAnsi" w:cstheme="minorHAnsi"/>
          <w:b/>
          <w:bCs/>
          <w:i/>
          <w:szCs w:val="24"/>
        </w:rPr>
      </w:pPr>
      <w:r w:rsidRPr="003A1DF4">
        <w:rPr>
          <w:rFonts w:asciiTheme="minorHAnsi" w:hAnsiTheme="minorHAnsi" w:cstheme="minorHAnsi"/>
          <w:b/>
          <w:bCs/>
          <w:i/>
          <w:szCs w:val="24"/>
        </w:rPr>
        <w:t>La struttura giurisdizionale</w:t>
      </w:r>
    </w:p>
    <w:p w:rsidR="009A0C7C" w:rsidRPr="003A1DF4" w:rsidRDefault="009A0C7C" w:rsidP="009A0C7C">
      <w:pPr>
        <w:spacing w:after="120" w:line="360" w:lineRule="auto"/>
        <w:rPr>
          <w:rFonts w:asciiTheme="minorHAnsi" w:hAnsiTheme="minorHAnsi" w:cstheme="minorHAnsi"/>
          <w:szCs w:val="24"/>
        </w:rPr>
      </w:pPr>
      <w:r w:rsidRPr="003A1DF4">
        <w:rPr>
          <w:rFonts w:asciiTheme="minorHAnsi" w:hAnsiTheme="minorHAnsi" w:cstheme="minorHAnsi"/>
          <w:szCs w:val="24"/>
        </w:rPr>
        <w:t xml:space="preserve">L’Ufficio del Giudice di Pace di Vicenza conta una dotazione organica di </w:t>
      </w:r>
      <w:r w:rsidR="000536ED">
        <w:rPr>
          <w:rFonts w:asciiTheme="minorHAnsi" w:hAnsiTheme="minorHAnsi" w:cstheme="minorHAnsi"/>
          <w:szCs w:val="24"/>
        </w:rPr>
        <w:t>9</w:t>
      </w:r>
      <w:r w:rsidRPr="005E5C4C">
        <w:rPr>
          <w:rFonts w:asciiTheme="minorHAnsi" w:hAnsiTheme="minorHAnsi" w:cstheme="minorHAnsi"/>
          <w:szCs w:val="24"/>
        </w:rPr>
        <w:t xml:space="preserve"> giudici. Di questi, sono realmente in servizio, compreso il coordinatore, solamente 5 giudici (vedi </w:t>
      </w:r>
      <w:r w:rsidR="00E90BB7">
        <w:fldChar w:fldCharType="begin"/>
      </w:r>
      <w:r w:rsidR="00E90BB7">
        <w:instrText xml:space="preserve"> REF _Ref327976056 \h  \* MERGEFORMAT </w:instrText>
      </w:r>
      <w:r w:rsidR="00E90BB7">
        <w:fldChar w:fldCharType="separate"/>
      </w:r>
      <w:r w:rsidR="00BC4790" w:rsidRPr="00BC4790">
        <w:rPr>
          <w:rFonts w:asciiTheme="minorHAnsi" w:hAnsiTheme="minorHAnsi" w:cstheme="minorHAnsi"/>
          <w:szCs w:val="24"/>
        </w:rPr>
        <w:t>Tabella 1</w:t>
      </w:r>
      <w:r w:rsidR="00E90BB7">
        <w:fldChar w:fldCharType="end"/>
      </w:r>
      <w:r w:rsidRPr="005E5C4C">
        <w:rPr>
          <w:rFonts w:asciiTheme="minorHAnsi" w:hAnsiTheme="minorHAnsi" w:cstheme="minorHAnsi"/>
          <w:szCs w:val="24"/>
        </w:rPr>
        <w:t>).</w:t>
      </w:r>
    </w:p>
    <w:p w:rsidR="009A0C7C" w:rsidRPr="003A1DF4" w:rsidRDefault="00A01B07" w:rsidP="009A0C7C">
      <w:pPr>
        <w:spacing w:after="120" w:line="360" w:lineRule="auto"/>
        <w:rPr>
          <w:rFonts w:asciiTheme="minorHAnsi" w:hAnsiTheme="minorHAnsi" w:cstheme="minorHAnsi"/>
          <w:szCs w:val="24"/>
        </w:rPr>
      </w:pPr>
      <w:r>
        <w:rPr>
          <w:rFonts w:asciiTheme="minorHAnsi" w:hAnsiTheme="minorHAnsi" w:cstheme="minorHAnsi"/>
          <w:szCs w:val="24"/>
        </w:rPr>
        <w:t>Sia in</w:t>
      </w:r>
      <w:r w:rsidR="009A0C7C" w:rsidRPr="003A1DF4">
        <w:rPr>
          <w:rFonts w:asciiTheme="minorHAnsi" w:hAnsiTheme="minorHAnsi" w:cstheme="minorHAnsi"/>
          <w:szCs w:val="24"/>
        </w:rPr>
        <w:t xml:space="preserve"> </w:t>
      </w:r>
      <w:r w:rsidR="009A0C7C" w:rsidRPr="003A1DF4">
        <w:rPr>
          <w:rFonts w:asciiTheme="minorHAnsi" w:hAnsiTheme="minorHAnsi" w:cstheme="minorHAnsi"/>
          <w:b/>
          <w:szCs w:val="24"/>
        </w:rPr>
        <w:t>ambito civile</w:t>
      </w:r>
      <w:r w:rsidR="009A0C7C" w:rsidRPr="003A1DF4">
        <w:rPr>
          <w:rFonts w:asciiTheme="minorHAnsi" w:hAnsiTheme="minorHAnsi" w:cstheme="minorHAnsi"/>
          <w:szCs w:val="24"/>
        </w:rPr>
        <w:t xml:space="preserve"> </w:t>
      </w:r>
      <w:r>
        <w:rPr>
          <w:rFonts w:asciiTheme="minorHAnsi" w:hAnsiTheme="minorHAnsi" w:cstheme="minorHAnsi"/>
          <w:szCs w:val="24"/>
        </w:rPr>
        <w:t xml:space="preserve">che in </w:t>
      </w:r>
      <w:r w:rsidRPr="00A01B07">
        <w:rPr>
          <w:rFonts w:asciiTheme="minorHAnsi" w:hAnsiTheme="minorHAnsi" w:cstheme="minorHAnsi"/>
          <w:b/>
          <w:szCs w:val="24"/>
        </w:rPr>
        <w:t>ambito penale</w:t>
      </w:r>
      <w:r>
        <w:rPr>
          <w:rFonts w:asciiTheme="minorHAnsi" w:hAnsiTheme="minorHAnsi" w:cstheme="minorHAnsi"/>
          <w:szCs w:val="24"/>
        </w:rPr>
        <w:t xml:space="preserve"> </w:t>
      </w:r>
      <w:r w:rsidR="009A0C7C" w:rsidRPr="003A1DF4">
        <w:rPr>
          <w:rFonts w:asciiTheme="minorHAnsi" w:hAnsiTheme="minorHAnsi" w:cstheme="minorHAnsi"/>
          <w:szCs w:val="24"/>
        </w:rPr>
        <w:t xml:space="preserve">è prevista </w:t>
      </w:r>
      <w:r>
        <w:rPr>
          <w:rFonts w:asciiTheme="minorHAnsi" w:hAnsiTheme="minorHAnsi" w:cstheme="minorHAnsi"/>
          <w:szCs w:val="24"/>
        </w:rPr>
        <w:t>una</w:t>
      </w:r>
      <w:r w:rsidR="009A0C7C" w:rsidRPr="003A1DF4">
        <w:rPr>
          <w:rFonts w:asciiTheme="minorHAnsi" w:hAnsiTheme="minorHAnsi" w:cstheme="minorHAnsi"/>
          <w:szCs w:val="24"/>
        </w:rPr>
        <w:t xml:space="preserve"> distribuzione degli affari </w:t>
      </w:r>
      <w:r w:rsidR="00890E04">
        <w:rPr>
          <w:rFonts w:asciiTheme="minorHAnsi" w:hAnsiTheme="minorHAnsi" w:cstheme="minorHAnsi"/>
          <w:szCs w:val="24"/>
        </w:rPr>
        <w:t>interni</w:t>
      </w:r>
      <w:r w:rsidR="009A0C7C" w:rsidRPr="003A1DF4">
        <w:rPr>
          <w:rFonts w:asciiTheme="minorHAnsi" w:hAnsiTheme="minorHAnsi" w:cstheme="minorHAnsi"/>
          <w:szCs w:val="24"/>
        </w:rPr>
        <w:t xml:space="preserve"> </w:t>
      </w:r>
      <w:r>
        <w:rPr>
          <w:rFonts w:asciiTheme="minorHAnsi" w:hAnsiTheme="minorHAnsi" w:cstheme="minorHAnsi"/>
          <w:szCs w:val="24"/>
        </w:rPr>
        <w:t>secondo</w:t>
      </w:r>
      <w:r w:rsidR="009A0C7C" w:rsidRPr="003A1DF4">
        <w:rPr>
          <w:rFonts w:asciiTheme="minorHAnsi" w:hAnsiTheme="minorHAnsi" w:cstheme="minorHAnsi"/>
          <w:szCs w:val="24"/>
        </w:rPr>
        <w:t xml:space="preserve"> il criterio di rotazione dei giudici in servizio, in forma automatizzata secondo il ruolo informatico utilizzato. In caso di astensione, ricusazione o impedimento di lunga durata del giudice assegnatario del procedimento, lo stesso procedimento viene sottoposto al giudice coordinatore per provvedere, esaminata l’is</w:t>
      </w:r>
      <w:r>
        <w:rPr>
          <w:rFonts w:asciiTheme="minorHAnsi" w:hAnsiTheme="minorHAnsi" w:cstheme="minorHAnsi"/>
          <w:szCs w:val="24"/>
        </w:rPr>
        <w:t>tanza del giudice titolare, ad</w:t>
      </w:r>
      <w:r w:rsidR="009A0C7C" w:rsidRPr="003A1DF4">
        <w:rPr>
          <w:rFonts w:asciiTheme="minorHAnsi" w:hAnsiTheme="minorHAnsi" w:cstheme="minorHAnsi"/>
          <w:szCs w:val="24"/>
        </w:rPr>
        <w:t xml:space="preserve"> </w:t>
      </w:r>
      <w:r>
        <w:rPr>
          <w:rFonts w:asciiTheme="minorHAnsi" w:hAnsiTheme="minorHAnsi" w:cstheme="minorHAnsi"/>
          <w:szCs w:val="24"/>
        </w:rPr>
        <w:t xml:space="preserve">nuova </w:t>
      </w:r>
      <w:r w:rsidR="009A0C7C" w:rsidRPr="003A1DF4">
        <w:rPr>
          <w:rFonts w:asciiTheme="minorHAnsi" w:hAnsiTheme="minorHAnsi" w:cstheme="minorHAnsi"/>
          <w:szCs w:val="24"/>
        </w:rPr>
        <w:t>assegnazione.</w:t>
      </w:r>
    </w:p>
    <w:p w:rsidR="009A0C7C" w:rsidRDefault="009A0C7C" w:rsidP="009A0C7C">
      <w:pPr>
        <w:spacing w:after="120" w:line="360" w:lineRule="auto"/>
        <w:rPr>
          <w:rFonts w:asciiTheme="minorHAnsi" w:hAnsiTheme="minorHAnsi" w:cstheme="minorHAnsi"/>
          <w:szCs w:val="24"/>
        </w:rPr>
      </w:pPr>
      <w:r w:rsidRPr="003A1DF4">
        <w:rPr>
          <w:rFonts w:asciiTheme="minorHAnsi" w:hAnsiTheme="minorHAnsi" w:cstheme="minorHAnsi"/>
          <w:szCs w:val="24"/>
        </w:rPr>
        <w:t>I procedimenti in materia di immigrazione sono assegnati a rotazione a tutti i giudici, con l’eccezione di un giudice esonerato da tale incombenza, in quanto eletto componente del Consiglio giudiziario.</w:t>
      </w:r>
    </w:p>
    <w:p w:rsidR="00A01B07" w:rsidRDefault="00A01B07" w:rsidP="009A0C7C">
      <w:pPr>
        <w:spacing w:after="120" w:line="360" w:lineRule="auto"/>
        <w:rPr>
          <w:rFonts w:ascii="Arial" w:hAnsi="Arial" w:cs="Arial"/>
          <w:szCs w:val="24"/>
        </w:rPr>
      </w:pPr>
    </w:p>
    <w:p w:rsidR="00A01B07" w:rsidRPr="00FB4311" w:rsidRDefault="00A01B07" w:rsidP="009A0C7C">
      <w:pPr>
        <w:spacing w:after="120" w:line="360" w:lineRule="auto"/>
        <w:rPr>
          <w:rFonts w:ascii="Arial" w:hAnsi="Arial" w:cs="Arial"/>
          <w:szCs w:val="24"/>
        </w:rPr>
      </w:pPr>
    </w:p>
    <w:p w:rsidR="009A0C7C" w:rsidRPr="008A6512" w:rsidRDefault="009A0C7C" w:rsidP="00CF17C5">
      <w:pPr>
        <w:pStyle w:val="Caption"/>
        <w:spacing w:after="0" w:line="360" w:lineRule="auto"/>
        <w:rPr>
          <w:rFonts w:asciiTheme="minorHAnsi" w:eastAsia="Times New Roman" w:hAnsiTheme="minorHAnsi" w:cstheme="minorHAnsi"/>
          <w:bCs w:val="0"/>
          <w:i w:val="0"/>
          <w:noProof/>
          <w:szCs w:val="22"/>
          <w:lang w:eastAsia="it-IT"/>
        </w:rPr>
      </w:pPr>
      <w:bookmarkStart w:id="8" w:name="_Ref327976056"/>
      <w:bookmarkStart w:id="9" w:name="_Toc367713305"/>
      <w:r w:rsidRPr="008A6512">
        <w:rPr>
          <w:rFonts w:asciiTheme="minorHAnsi" w:eastAsia="Times New Roman" w:hAnsiTheme="minorHAnsi" w:cstheme="minorHAnsi"/>
          <w:bCs w:val="0"/>
          <w:i w:val="0"/>
          <w:noProof/>
          <w:szCs w:val="22"/>
          <w:lang w:eastAsia="it-IT"/>
        </w:rPr>
        <w:lastRenderedPageBreak/>
        <w:t xml:space="preserve">Tabella </w:t>
      </w:r>
      <w:r w:rsidR="007C1E4D" w:rsidRPr="008A6512">
        <w:rPr>
          <w:rFonts w:asciiTheme="minorHAnsi" w:eastAsia="Times New Roman" w:hAnsiTheme="minorHAnsi" w:cstheme="minorHAnsi"/>
          <w:bCs w:val="0"/>
          <w:i w:val="0"/>
          <w:noProof/>
          <w:szCs w:val="22"/>
          <w:lang w:eastAsia="it-IT"/>
        </w:rPr>
        <w:fldChar w:fldCharType="begin"/>
      </w:r>
      <w:r w:rsidRPr="008A6512">
        <w:rPr>
          <w:rFonts w:asciiTheme="minorHAnsi" w:eastAsia="Times New Roman" w:hAnsiTheme="minorHAnsi" w:cstheme="minorHAnsi"/>
          <w:bCs w:val="0"/>
          <w:i w:val="0"/>
          <w:noProof/>
          <w:szCs w:val="22"/>
          <w:lang w:eastAsia="it-IT"/>
        </w:rPr>
        <w:instrText xml:space="preserve"> SEQ Tabella \* ARABIC </w:instrText>
      </w:r>
      <w:r w:rsidR="007C1E4D" w:rsidRPr="008A6512">
        <w:rPr>
          <w:rFonts w:asciiTheme="minorHAnsi" w:eastAsia="Times New Roman" w:hAnsiTheme="minorHAnsi" w:cstheme="minorHAnsi"/>
          <w:bCs w:val="0"/>
          <w:i w:val="0"/>
          <w:noProof/>
          <w:szCs w:val="22"/>
          <w:lang w:eastAsia="it-IT"/>
        </w:rPr>
        <w:fldChar w:fldCharType="separate"/>
      </w:r>
      <w:r w:rsidR="00BC4790">
        <w:rPr>
          <w:rFonts w:asciiTheme="minorHAnsi" w:eastAsia="Times New Roman" w:hAnsiTheme="minorHAnsi" w:cstheme="minorHAnsi"/>
          <w:bCs w:val="0"/>
          <w:i w:val="0"/>
          <w:noProof/>
          <w:szCs w:val="22"/>
          <w:lang w:eastAsia="it-IT"/>
        </w:rPr>
        <w:t>1</w:t>
      </w:r>
      <w:r w:rsidR="007C1E4D" w:rsidRPr="008A6512">
        <w:rPr>
          <w:rFonts w:asciiTheme="minorHAnsi" w:eastAsia="Times New Roman" w:hAnsiTheme="minorHAnsi" w:cstheme="minorHAnsi"/>
          <w:bCs w:val="0"/>
          <w:i w:val="0"/>
          <w:noProof/>
          <w:szCs w:val="22"/>
          <w:lang w:eastAsia="it-IT"/>
        </w:rPr>
        <w:fldChar w:fldCharType="end"/>
      </w:r>
      <w:bookmarkEnd w:id="8"/>
      <w:r w:rsidR="005B0F3D">
        <w:rPr>
          <w:rFonts w:asciiTheme="minorHAnsi" w:eastAsia="Times New Roman" w:hAnsiTheme="minorHAnsi" w:cstheme="minorHAnsi"/>
          <w:bCs w:val="0"/>
          <w:i w:val="0"/>
          <w:noProof/>
          <w:szCs w:val="22"/>
          <w:lang w:eastAsia="it-IT"/>
        </w:rPr>
        <w:t xml:space="preserve"> -</w:t>
      </w:r>
      <w:r w:rsidRPr="008A6512">
        <w:rPr>
          <w:rFonts w:asciiTheme="minorHAnsi" w:eastAsia="Times New Roman" w:hAnsiTheme="minorHAnsi" w:cstheme="minorHAnsi"/>
          <w:bCs w:val="0"/>
          <w:i w:val="0"/>
          <w:noProof/>
          <w:szCs w:val="22"/>
          <w:lang w:eastAsia="it-IT"/>
        </w:rPr>
        <w:t xml:space="preserve"> Organico dei giudici</w:t>
      </w:r>
      <w:bookmarkEnd w:id="9"/>
    </w:p>
    <w:tbl>
      <w:tblPr>
        <w:tblStyle w:val="LightGrid-Accent11"/>
        <w:tblW w:w="9037" w:type="dxa"/>
        <w:jc w:val="center"/>
        <w:tblLook w:val="04A0" w:firstRow="1" w:lastRow="0" w:firstColumn="1" w:lastColumn="0" w:noHBand="0" w:noVBand="1"/>
      </w:tblPr>
      <w:tblGrid>
        <w:gridCol w:w="3085"/>
        <w:gridCol w:w="1984"/>
        <w:gridCol w:w="1984"/>
        <w:gridCol w:w="1984"/>
      </w:tblGrid>
      <w:tr w:rsidR="009A0C7C" w:rsidRPr="005B5A0C" w:rsidTr="006C6E12">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9A0C7C" w:rsidRPr="005B5A0C" w:rsidRDefault="009A0C7C" w:rsidP="00F25107">
            <w:pPr>
              <w:spacing w:after="0"/>
              <w:jc w:val="center"/>
              <w:rPr>
                <w:rFonts w:asciiTheme="minorHAnsi" w:eastAsia="Times New Roman" w:hAnsiTheme="minorHAnsi" w:cstheme="minorHAnsi"/>
                <w:i/>
                <w:iCs/>
                <w:color w:val="000000"/>
                <w:sz w:val="22"/>
              </w:rPr>
            </w:pPr>
            <w:r w:rsidRPr="005B5A0C">
              <w:rPr>
                <w:rFonts w:asciiTheme="minorHAnsi" w:eastAsia="Times New Roman" w:hAnsiTheme="minorHAnsi" w:cstheme="minorHAnsi"/>
                <w:i/>
                <w:iCs/>
                <w:color w:val="000000"/>
                <w:sz w:val="22"/>
              </w:rPr>
              <w:t>Funzione</w:t>
            </w:r>
          </w:p>
        </w:tc>
        <w:tc>
          <w:tcPr>
            <w:tcW w:w="1984" w:type="dxa"/>
            <w:noWrap/>
            <w:vAlign w:val="center"/>
            <w:hideMark/>
          </w:tcPr>
          <w:p w:rsidR="009A0C7C" w:rsidRPr="005B5A0C" w:rsidRDefault="009A0C7C" w:rsidP="00F2510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rPr>
            </w:pPr>
            <w:r w:rsidRPr="005B5A0C">
              <w:rPr>
                <w:rFonts w:asciiTheme="minorHAnsi" w:eastAsia="Times New Roman" w:hAnsiTheme="minorHAnsi" w:cstheme="minorHAnsi"/>
                <w:i/>
                <w:iCs/>
                <w:color w:val="000000"/>
                <w:sz w:val="22"/>
              </w:rPr>
              <w:t>Organico</w:t>
            </w:r>
          </w:p>
        </w:tc>
        <w:tc>
          <w:tcPr>
            <w:tcW w:w="1984" w:type="dxa"/>
            <w:noWrap/>
            <w:vAlign w:val="center"/>
            <w:hideMark/>
          </w:tcPr>
          <w:p w:rsidR="009A0C7C" w:rsidRPr="005B5A0C" w:rsidRDefault="009A0C7C" w:rsidP="00F2510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rPr>
            </w:pPr>
            <w:r w:rsidRPr="005B5A0C">
              <w:rPr>
                <w:rFonts w:asciiTheme="minorHAnsi" w:eastAsia="Times New Roman" w:hAnsiTheme="minorHAnsi" w:cstheme="minorHAnsi"/>
                <w:i/>
                <w:iCs/>
                <w:color w:val="000000"/>
                <w:sz w:val="22"/>
              </w:rPr>
              <w:t>In servizio</w:t>
            </w:r>
          </w:p>
        </w:tc>
        <w:tc>
          <w:tcPr>
            <w:tcW w:w="1984" w:type="dxa"/>
            <w:noWrap/>
            <w:vAlign w:val="center"/>
            <w:hideMark/>
          </w:tcPr>
          <w:p w:rsidR="009A0C7C" w:rsidRPr="005B5A0C" w:rsidRDefault="009A0C7C" w:rsidP="00F2510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rPr>
            </w:pPr>
            <w:r w:rsidRPr="005B5A0C">
              <w:rPr>
                <w:rFonts w:asciiTheme="minorHAnsi" w:eastAsia="Times New Roman" w:hAnsiTheme="minorHAnsi" w:cstheme="minorHAnsi"/>
                <w:i/>
                <w:iCs/>
                <w:color w:val="000000"/>
                <w:sz w:val="22"/>
              </w:rPr>
              <w:t>% scopertura</w:t>
            </w:r>
          </w:p>
        </w:tc>
      </w:tr>
      <w:tr w:rsidR="009A0C7C" w:rsidRPr="005B5A0C" w:rsidTr="006C6E12">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9A0C7C" w:rsidRPr="005B5A0C" w:rsidRDefault="009A0C7C" w:rsidP="00F25107">
            <w:pPr>
              <w:spacing w:after="0"/>
              <w:rPr>
                <w:rFonts w:asciiTheme="minorHAnsi" w:eastAsia="Times New Roman" w:hAnsiTheme="minorHAnsi" w:cstheme="minorHAnsi"/>
                <w:b w:val="0"/>
                <w:color w:val="000000"/>
                <w:sz w:val="22"/>
              </w:rPr>
            </w:pPr>
            <w:r w:rsidRPr="005B5A0C">
              <w:rPr>
                <w:rFonts w:asciiTheme="minorHAnsi" w:eastAsia="Times New Roman" w:hAnsiTheme="minorHAnsi" w:cstheme="minorHAnsi"/>
                <w:b w:val="0"/>
                <w:color w:val="000000"/>
                <w:sz w:val="22"/>
              </w:rPr>
              <w:t>Coordinatore</w:t>
            </w:r>
          </w:p>
        </w:tc>
        <w:tc>
          <w:tcPr>
            <w:tcW w:w="1984" w:type="dxa"/>
            <w:noWrap/>
            <w:vAlign w:val="center"/>
            <w:hideMark/>
          </w:tcPr>
          <w:p w:rsidR="009A0C7C" w:rsidRPr="005B5A0C" w:rsidRDefault="009A0C7C"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5B5A0C">
              <w:rPr>
                <w:rFonts w:asciiTheme="minorHAnsi" w:hAnsiTheme="minorHAnsi" w:cstheme="minorHAnsi"/>
                <w:color w:val="000000"/>
                <w:sz w:val="22"/>
              </w:rPr>
              <w:t>1</w:t>
            </w:r>
          </w:p>
        </w:tc>
        <w:tc>
          <w:tcPr>
            <w:tcW w:w="1984" w:type="dxa"/>
            <w:noWrap/>
            <w:vAlign w:val="center"/>
            <w:hideMark/>
          </w:tcPr>
          <w:p w:rsidR="009A0C7C" w:rsidRPr="005B5A0C" w:rsidRDefault="009A0C7C"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5B5A0C">
              <w:rPr>
                <w:rFonts w:asciiTheme="minorHAnsi" w:hAnsiTheme="minorHAnsi" w:cstheme="minorHAnsi"/>
                <w:color w:val="000000"/>
                <w:sz w:val="22"/>
              </w:rPr>
              <w:t>1</w:t>
            </w:r>
          </w:p>
        </w:tc>
        <w:tc>
          <w:tcPr>
            <w:tcW w:w="1984" w:type="dxa"/>
            <w:noWrap/>
            <w:vAlign w:val="center"/>
            <w:hideMark/>
          </w:tcPr>
          <w:p w:rsidR="009A0C7C" w:rsidRPr="005B5A0C" w:rsidRDefault="009A0C7C"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5B5A0C">
              <w:rPr>
                <w:rFonts w:asciiTheme="minorHAnsi" w:hAnsiTheme="minorHAnsi" w:cstheme="minorHAnsi"/>
                <w:color w:val="000000"/>
                <w:sz w:val="22"/>
              </w:rPr>
              <w:t>-</w:t>
            </w:r>
          </w:p>
        </w:tc>
      </w:tr>
      <w:tr w:rsidR="009A0C7C" w:rsidRPr="005B5A0C" w:rsidTr="006C6E12">
        <w:trPr>
          <w:cnfStyle w:val="000000010000" w:firstRow="0" w:lastRow="0" w:firstColumn="0" w:lastColumn="0" w:oddVBand="0" w:evenVBand="0" w:oddHBand="0" w:evenHBand="1"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9A0C7C" w:rsidRPr="005B5A0C" w:rsidRDefault="009A0C7C" w:rsidP="00F25107">
            <w:pPr>
              <w:spacing w:after="0"/>
              <w:rPr>
                <w:rFonts w:asciiTheme="minorHAnsi" w:eastAsia="Times New Roman" w:hAnsiTheme="minorHAnsi" w:cstheme="minorHAnsi"/>
                <w:b w:val="0"/>
                <w:color w:val="000000"/>
                <w:sz w:val="22"/>
              </w:rPr>
            </w:pPr>
            <w:r w:rsidRPr="005B5A0C">
              <w:rPr>
                <w:rFonts w:asciiTheme="minorHAnsi" w:eastAsia="Times New Roman" w:hAnsiTheme="minorHAnsi" w:cstheme="minorHAnsi"/>
                <w:b w:val="0"/>
                <w:color w:val="000000"/>
                <w:sz w:val="22"/>
              </w:rPr>
              <w:t>Giudice</w:t>
            </w:r>
          </w:p>
        </w:tc>
        <w:tc>
          <w:tcPr>
            <w:tcW w:w="1984" w:type="dxa"/>
            <w:noWrap/>
            <w:vAlign w:val="center"/>
            <w:hideMark/>
          </w:tcPr>
          <w:p w:rsidR="009A0C7C" w:rsidRPr="005B5A0C" w:rsidRDefault="000536ED"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Pr>
                <w:rFonts w:asciiTheme="minorHAnsi" w:hAnsiTheme="minorHAnsi" w:cstheme="minorHAnsi"/>
                <w:color w:val="000000"/>
                <w:sz w:val="22"/>
              </w:rPr>
              <w:t>8</w:t>
            </w:r>
          </w:p>
        </w:tc>
        <w:tc>
          <w:tcPr>
            <w:tcW w:w="1984" w:type="dxa"/>
            <w:noWrap/>
            <w:vAlign w:val="center"/>
            <w:hideMark/>
          </w:tcPr>
          <w:p w:rsidR="009A0C7C" w:rsidRPr="005B5A0C" w:rsidRDefault="009A0C7C"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5B5A0C">
              <w:rPr>
                <w:rFonts w:asciiTheme="minorHAnsi" w:hAnsiTheme="minorHAnsi" w:cstheme="minorHAnsi"/>
                <w:color w:val="000000"/>
                <w:sz w:val="22"/>
              </w:rPr>
              <w:t>4</w:t>
            </w:r>
          </w:p>
        </w:tc>
        <w:tc>
          <w:tcPr>
            <w:tcW w:w="1984" w:type="dxa"/>
            <w:noWrap/>
            <w:vAlign w:val="center"/>
            <w:hideMark/>
          </w:tcPr>
          <w:p w:rsidR="009A0C7C" w:rsidRPr="005B5A0C" w:rsidRDefault="000536ED"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Pr>
                <w:rFonts w:asciiTheme="minorHAnsi" w:hAnsiTheme="minorHAnsi" w:cstheme="minorHAnsi"/>
                <w:color w:val="000000"/>
                <w:sz w:val="22"/>
              </w:rPr>
              <w:t>50</w:t>
            </w:r>
            <w:r w:rsidR="009A0C7C" w:rsidRPr="005B5A0C">
              <w:rPr>
                <w:rFonts w:asciiTheme="minorHAnsi" w:hAnsiTheme="minorHAnsi" w:cstheme="minorHAnsi"/>
                <w:color w:val="000000"/>
                <w:sz w:val="22"/>
              </w:rPr>
              <w:t>%</w:t>
            </w:r>
          </w:p>
        </w:tc>
      </w:tr>
      <w:tr w:rsidR="009A0C7C" w:rsidRPr="005B5A0C" w:rsidTr="006C6E12">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9A0C7C" w:rsidRPr="005B5A0C" w:rsidRDefault="009A0C7C" w:rsidP="00F25107">
            <w:pPr>
              <w:spacing w:after="0"/>
              <w:rPr>
                <w:rFonts w:asciiTheme="minorHAnsi" w:eastAsia="Times New Roman" w:hAnsiTheme="minorHAnsi" w:cstheme="minorHAnsi"/>
                <w:color w:val="000000"/>
                <w:sz w:val="22"/>
              </w:rPr>
            </w:pPr>
            <w:r w:rsidRPr="005B5A0C">
              <w:rPr>
                <w:rFonts w:asciiTheme="minorHAnsi" w:eastAsia="Times New Roman" w:hAnsiTheme="minorHAnsi" w:cstheme="minorHAnsi"/>
                <w:color w:val="000000"/>
                <w:sz w:val="22"/>
              </w:rPr>
              <w:t>Totale giudici</w:t>
            </w:r>
          </w:p>
        </w:tc>
        <w:tc>
          <w:tcPr>
            <w:tcW w:w="1984" w:type="dxa"/>
            <w:noWrap/>
            <w:vAlign w:val="center"/>
            <w:hideMark/>
          </w:tcPr>
          <w:p w:rsidR="009A0C7C" w:rsidRPr="005B5A0C" w:rsidRDefault="000536ED"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rPr>
            </w:pPr>
            <w:r>
              <w:rPr>
                <w:rFonts w:asciiTheme="minorHAnsi" w:hAnsiTheme="minorHAnsi" w:cstheme="minorHAnsi"/>
                <w:b/>
                <w:color w:val="000000"/>
                <w:sz w:val="22"/>
              </w:rPr>
              <w:t>9</w:t>
            </w:r>
          </w:p>
        </w:tc>
        <w:tc>
          <w:tcPr>
            <w:tcW w:w="1984" w:type="dxa"/>
            <w:noWrap/>
            <w:vAlign w:val="center"/>
            <w:hideMark/>
          </w:tcPr>
          <w:p w:rsidR="009A0C7C" w:rsidRPr="005B5A0C" w:rsidRDefault="009A0C7C"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rPr>
            </w:pPr>
            <w:r w:rsidRPr="005B5A0C">
              <w:rPr>
                <w:rFonts w:asciiTheme="minorHAnsi" w:hAnsiTheme="minorHAnsi" w:cstheme="minorHAnsi"/>
                <w:b/>
                <w:color w:val="000000"/>
                <w:sz w:val="22"/>
              </w:rPr>
              <w:t>5</w:t>
            </w:r>
          </w:p>
        </w:tc>
        <w:tc>
          <w:tcPr>
            <w:tcW w:w="1984" w:type="dxa"/>
            <w:noWrap/>
            <w:vAlign w:val="center"/>
            <w:hideMark/>
          </w:tcPr>
          <w:p w:rsidR="009A0C7C" w:rsidRPr="005B5A0C" w:rsidRDefault="000536ED"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rPr>
            </w:pPr>
            <w:r>
              <w:rPr>
                <w:rFonts w:asciiTheme="minorHAnsi" w:hAnsiTheme="minorHAnsi" w:cstheme="minorHAnsi"/>
                <w:b/>
                <w:color w:val="000000"/>
                <w:sz w:val="22"/>
              </w:rPr>
              <w:t>46</w:t>
            </w:r>
            <w:r w:rsidR="009A0C7C" w:rsidRPr="005B5A0C">
              <w:rPr>
                <w:rFonts w:asciiTheme="minorHAnsi" w:hAnsiTheme="minorHAnsi" w:cstheme="minorHAnsi"/>
                <w:b/>
                <w:color w:val="000000"/>
                <w:sz w:val="22"/>
              </w:rPr>
              <w:t>%</w:t>
            </w:r>
          </w:p>
        </w:tc>
      </w:tr>
    </w:tbl>
    <w:p w:rsidR="009A0C7C" w:rsidRPr="007E6CBE" w:rsidRDefault="009A0C7C" w:rsidP="00F25107">
      <w:pPr>
        <w:spacing w:before="240" w:after="0" w:line="360" w:lineRule="auto"/>
        <w:jc w:val="center"/>
        <w:rPr>
          <w:rFonts w:ascii="Arial" w:hAnsi="Arial" w:cs="Arial"/>
          <w:i/>
          <w:sz w:val="18"/>
          <w:szCs w:val="24"/>
        </w:rPr>
      </w:pPr>
      <w:r w:rsidRPr="007E6CBE">
        <w:rPr>
          <w:rFonts w:ascii="Arial" w:hAnsi="Arial" w:cs="Arial"/>
          <w:i/>
          <w:sz w:val="18"/>
          <w:szCs w:val="24"/>
        </w:rPr>
        <w:t xml:space="preserve">     Fonte: Dirigenza dell’Ufficio</w:t>
      </w:r>
    </w:p>
    <w:p w:rsidR="00CF17C5" w:rsidRDefault="00CF17C5" w:rsidP="00CF17C5">
      <w:pPr>
        <w:pStyle w:val="Caption"/>
        <w:spacing w:after="0" w:line="360" w:lineRule="auto"/>
        <w:rPr>
          <w:rFonts w:asciiTheme="minorHAnsi" w:eastAsia="Times New Roman" w:hAnsiTheme="minorHAnsi" w:cstheme="minorHAnsi"/>
          <w:bCs w:val="0"/>
          <w:i w:val="0"/>
          <w:szCs w:val="22"/>
          <w:lang w:eastAsia="it-IT"/>
        </w:rPr>
      </w:pPr>
    </w:p>
    <w:p w:rsidR="00A01B07" w:rsidRPr="00A01B07" w:rsidRDefault="00A01B07" w:rsidP="00A01B07"/>
    <w:p w:rsidR="009A0C7C" w:rsidRPr="008A6512" w:rsidRDefault="009A0C7C" w:rsidP="00CF17C5">
      <w:pPr>
        <w:pStyle w:val="Caption"/>
        <w:spacing w:after="0" w:line="360" w:lineRule="auto"/>
        <w:rPr>
          <w:rFonts w:asciiTheme="minorHAnsi" w:eastAsia="Times New Roman" w:hAnsiTheme="minorHAnsi" w:cstheme="minorHAnsi"/>
          <w:bCs w:val="0"/>
          <w:i w:val="0"/>
          <w:noProof/>
          <w:szCs w:val="22"/>
          <w:lang w:eastAsia="it-IT"/>
        </w:rPr>
      </w:pPr>
      <w:bookmarkStart w:id="10" w:name="_Toc367703946"/>
      <w:r w:rsidRPr="008A6512">
        <w:rPr>
          <w:rFonts w:asciiTheme="minorHAnsi" w:eastAsia="Times New Roman" w:hAnsiTheme="minorHAnsi" w:cstheme="minorHAnsi"/>
          <w:bCs w:val="0"/>
          <w:i w:val="0"/>
          <w:noProof/>
          <w:szCs w:val="22"/>
          <w:lang w:eastAsia="it-IT"/>
        </w:rPr>
        <w:t xml:space="preserve">Figura </w:t>
      </w:r>
      <w:r w:rsidR="007C1E4D" w:rsidRPr="008A6512">
        <w:rPr>
          <w:rFonts w:asciiTheme="minorHAnsi" w:eastAsia="Times New Roman" w:hAnsiTheme="minorHAnsi" w:cstheme="minorHAnsi"/>
          <w:bCs w:val="0"/>
          <w:i w:val="0"/>
          <w:noProof/>
          <w:szCs w:val="22"/>
          <w:lang w:eastAsia="it-IT"/>
        </w:rPr>
        <w:fldChar w:fldCharType="begin"/>
      </w:r>
      <w:r w:rsidRPr="008A6512">
        <w:rPr>
          <w:rFonts w:asciiTheme="minorHAnsi" w:eastAsia="Times New Roman" w:hAnsiTheme="minorHAnsi" w:cstheme="minorHAnsi"/>
          <w:bCs w:val="0"/>
          <w:i w:val="0"/>
          <w:noProof/>
          <w:szCs w:val="22"/>
          <w:lang w:eastAsia="it-IT"/>
        </w:rPr>
        <w:instrText xml:space="preserve"> SEQ Figura \* ARABIC </w:instrText>
      </w:r>
      <w:r w:rsidR="007C1E4D" w:rsidRPr="008A6512">
        <w:rPr>
          <w:rFonts w:asciiTheme="minorHAnsi" w:eastAsia="Times New Roman" w:hAnsiTheme="minorHAnsi" w:cstheme="minorHAnsi"/>
          <w:bCs w:val="0"/>
          <w:i w:val="0"/>
          <w:noProof/>
          <w:szCs w:val="22"/>
          <w:lang w:eastAsia="it-IT"/>
        </w:rPr>
        <w:fldChar w:fldCharType="separate"/>
      </w:r>
      <w:r w:rsidR="00BC4790">
        <w:rPr>
          <w:rFonts w:asciiTheme="minorHAnsi" w:eastAsia="Times New Roman" w:hAnsiTheme="minorHAnsi" w:cstheme="minorHAnsi"/>
          <w:bCs w:val="0"/>
          <w:i w:val="0"/>
          <w:noProof/>
          <w:szCs w:val="22"/>
          <w:lang w:eastAsia="it-IT"/>
        </w:rPr>
        <w:t>2</w:t>
      </w:r>
      <w:r w:rsidR="007C1E4D" w:rsidRPr="008A6512">
        <w:rPr>
          <w:rFonts w:asciiTheme="minorHAnsi" w:eastAsia="Times New Roman" w:hAnsiTheme="minorHAnsi" w:cstheme="minorHAnsi"/>
          <w:bCs w:val="0"/>
          <w:i w:val="0"/>
          <w:noProof/>
          <w:szCs w:val="22"/>
          <w:lang w:eastAsia="it-IT"/>
        </w:rPr>
        <w:fldChar w:fldCharType="end"/>
      </w:r>
      <w:r w:rsidRPr="008A6512">
        <w:rPr>
          <w:rFonts w:asciiTheme="minorHAnsi" w:eastAsia="Times New Roman" w:hAnsiTheme="minorHAnsi" w:cstheme="minorHAnsi"/>
          <w:bCs w:val="0"/>
          <w:i w:val="0"/>
          <w:noProof/>
          <w:szCs w:val="22"/>
          <w:lang w:eastAsia="it-IT"/>
        </w:rPr>
        <w:t xml:space="preserve"> - Struttura giurisdizionale</w:t>
      </w:r>
      <w:bookmarkEnd w:id="10"/>
    </w:p>
    <w:p w:rsidR="009A0C7C" w:rsidRDefault="009A0C7C" w:rsidP="009A0C7C">
      <w:pPr>
        <w:spacing w:after="120" w:line="360" w:lineRule="auto"/>
        <w:jc w:val="center"/>
        <w:rPr>
          <w:rFonts w:ascii="Arial" w:hAnsi="Arial" w:cs="Arial"/>
          <w:szCs w:val="24"/>
        </w:rPr>
      </w:pPr>
      <w:r w:rsidRPr="005D0CBE">
        <w:rPr>
          <w:rFonts w:ascii="Arial" w:hAnsi="Arial" w:cs="Arial"/>
          <w:noProof/>
          <w:szCs w:val="24"/>
        </w:rPr>
        <mc:AlternateContent>
          <mc:Choice Requires="wpg">
            <w:drawing>
              <wp:inline distT="0" distB="0" distL="0" distR="0">
                <wp:extent cx="6315075" cy="1740081"/>
                <wp:effectExtent l="57150" t="19050" r="85725" b="88900"/>
                <wp:docPr id="34" name="Group 33"/>
                <wp:cNvGraphicFramePr/>
                <a:graphic xmlns:a="http://schemas.openxmlformats.org/drawingml/2006/main">
                  <a:graphicData uri="http://schemas.microsoft.com/office/word/2010/wordprocessingGroup">
                    <wpg:wgp>
                      <wpg:cNvGrpSpPr/>
                      <wpg:grpSpPr>
                        <a:xfrm>
                          <a:off x="0" y="0"/>
                          <a:ext cx="6315075" cy="1740081"/>
                          <a:chOff x="504094" y="2405082"/>
                          <a:chExt cx="8028346" cy="1740081"/>
                        </a:xfrm>
                      </wpg:grpSpPr>
                      <wpg:grpSp>
                        <wpg:cNvPr id="26" name="Group 26"/>
                        <wpg:cNvGrpSpPr/>
                        <wpg:grpSpPr>
                          <a:xfrm>
                            <a:off x="3454162" y="2405082"/>
                            <a:ext cx="2088232" cy="591870"/>
                            <a:chOff x="3454162" y="2405082"/>
                            <a:chExt cx="1183741" cy="591870"/>
                          </a:xfrm>
                        </wpg:grpSpPr>
                        <wps:wsp>
                          <wps:cNvPr id="44" name="Rectangle 44"/>
                          <wps:cNvSpPr/>
                          <wps:spPr>
                            <a:xfrm>
                              <a:off x="3454162" y="2405082"/>
                              <a:ext cx="1183741" cy="591870"/>
                            </a:xfrm>
                            <a:prstGeom prst="rect">
                              <a:avLst/>
                            </a:prstGeom>
                          </wps:spPr>
                          <wps:style>
                            <a:lnRef idx="1">
                              <a:schemeClr val="accent1"/>
                            </a:lnRef>
                            <a:fillRef idx="3">
                              <a:schemeClr val="accent1"/>
                            </a:fillRef>
                            <a:effectRef idx="2">
                              <a:schemeClr val="accent1"/>
                            </a:effectRef>
                            <a:fontRef idx="minor">
                              <a:schemeClr val="lt1"/>
                            </a:fontRef>
                          </wps:style>
                          <wps:bodyPr/>
                        </wps:wsp>
                        <wps:wsp>
                          <wps:cNvPr id="45" name="Rectangle 45"/>
                          <wps:cNvSpPr/>
                          <wps:spPr>
                            <a:xfrm>
                              <a:off x="3454162" y="2405082"/>
                              <a:ext cx="1183741" cy="59187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B168EB" w:rsidRDefault="00B168EB" w:rsidP="00EF3B4A">
                                <w:pPr>
                                  <w:pStyle w:val="NormalWeb"/>
                                  <w:spacing w:before="0" w:beforeAutospacing="0" w:after="109" w:afterAutospacing="0" w:line="216" w:lineRule="auto"/>
                                  <w:jc w:val="center"/>
                                  <w:rPr>
                                    <w:rFonts w:asciiTheme="minorHAnsi" w:hAnsi="Calibri" w:cstheme="minorBidi"/>
                                    <w:color w:val="FFFFFF" w:themeColor="light1"/>
                                    <w:kern w:val="24"/>
                                  </w:rPr>
                                </w:pPr>
                                <w:r w:rsidRPr="00A55991">
                                  <w:rPr>
                                    <w:rFonts w:asciiTheme="minorHAnsi" w:hAnsi="Calibri" w:cstheme="minorBidi"/>
                                    <w:color w:val="FFFFFF" w:themeColor="light1"/>
                                    <w:kern w:val="24"/>
                                  </w:rPr>
                                  <w:t xml:space="preserve">Giudice di Pace Coordinatore  </w:t>
                                </w:r>
                              </w:p>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 xml:space="preserve">Dott. </w:t>
                                </w:r>
                                <w:proofErr w:type="spellStart"/>
                                <w:r w:rsidRPr="00A55991">
                                  <w:rPr>
                                    <w:rFonts w:asciiTheme="minorHAnsi" w:hAnsi="Calibri" w:cstheme="minorBidi"/>
                                    <w:color w:val="FFFFFF" w:themeColor="light1"/>
                                    <w:kern w:val="24"/>
                                  </w:rPr>
                                  <w:t>Zampese</w:t>
                                </w:r>
                                <w:proofErr w:type="spellEnd"/>
                              </w:p>
                            </w:txbxContent>
                          </wps:txbx>
                          <wps:bodyPr spcFirstLastPara="0" vert="horz" wrap="square" lIns="8255" tIns="8255" rIns="8255" bIns="8255" numCol="1" spcCol="1270" anchor="ctr" anchorCtr="0">
                            <a:noAutofit/>
                          </wps:bodyPr>
                        </wps:wsp>
                      </wpg:grpSp>
                      <wpg:grpSp>
                        <wpg:cNvPr id="27" name="Group 27"/>
                        <wpg:cNvGrpSpPr/>
                        <wpg:grpSpPr>
                          <a:xfrm>
                            <a:off x="2544320" y="3553293"/>
                            <a:ext cx="1907666" cy="591870"/>
                            <a:chOff x="2544320" y="3553293"/>
                            <a:chExt cx="1183741" cy="591870"/>
                          </a:xfrm>
                        </wpg:grpSpPr>
                        <wps:wsp>
                          <wps:cNvPr id="42" name="Rectangle 42"/>
                          <wps:cNvSpPr/>
                          <wps:spPr>
                            <a:xfrm>
                              <a:off x="2544320" y="3553293"/>
                              <a:ext cx="1183741" cy="591870"/>
                            </a:xfrm>
                            <a:prstGeom prst="rect">
                              <a:avLst/>
                            </a:prstGeom>
                          </wps:spPr>
                          <wps:style>
                            <a:lnRef idx="1">
                              <a:schemeClr val="accent1"/>
                            </a:lnRef>
                            <a:fillRef idx="3">
                              <a:schemeClr val="accent1"/>
                            </a:fillRef>
                            <a:effectRef idx="2">
                              <a:schemeClr val="accent1"/>
                            </a:effectRef>
                            <a:fontRef idx="minor">
                              <a:schemeClr val="lt1"/>
                            </a:fontRef>
                          </wps:style>
                          <wps:bodyPr/>
                        </wps:wsp>
                        <wps:wsp>
                          <wps:cNvPr id="43" name="Rectangle 43"/>
                          <wps:cNvSpPr/>
                          <wps:spPr>
                            <a:xfrm>
                              <a:off x="2544320" y="3553293"/>
                              <a:ext cx="1183741" cy="59187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Giudice di Pace</w:t>
                                </w:r>
                              </w:p>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 xml:space="preserve">Dott. </w:t>
                                </w:r>
                                <w:proofErr w:type="spellStart"/>
                                <w:r w:rsidRPr="00A55991">
                                  <w:rPr>
                                    <w:rFonts w:asciiTheme="minorHAnsi" w:hAnsi="Calibri" w:cstheme="minorBidi"/>
                                    <w:color w:val="FFFFFF" w:themeColor="light1"/>
                                    <w:kern w:val="24"/>
                                  </w:rPr>
                                  <w:t>ssa</w:t>
                                </w:r>
                                <w:proofErr w:type="spellEnd"/>
                                <w:r w:rsidRPr="00A55991">
                                  <w:rPr>
                                    <w:rFonts w:asciiTheme="minorHAnsi" w:hAnsi="Calibri" w:cstheme="minorBidi"/>
                                    <w:color w:val="FFFFFF" w:themeColor="light1"/>
                                    <w:kern w:val="24"/>
                                  </w:rPr>
                                  <w:t xml:space="preserve"> </w:t>
                                </w:r>
                                <w:proofErr w:type="spellStart"/>
                                <w:r w:rsidRPr="00A55991">
                                  <w:rPr>
                                    <w:rFonts w:asciiTheme="minorHAnsi" w:hAnsi="Calibri" w:cstheme="minorBidi"/>
                                    <w:color w:val="FFFFFF" w:themeColor="light1"/>
                                    <w:kern w:val="24"/>
                                  </w:rPr>
                                  <w:t>Nupieri</w:t>
                                </w:r>
                                <w:proofErr w:type="spellEnd"/>
                              </w:p>
                            </w:txbxContent>
                          </wps:txbx>
                          <wps:bodyPr spcFirstLastPara="0" vert="horz" wrap="square" lIns="8255" tIns="8255" rIns="8255" bIns="8255" numCol="1" spcCol="1270" anchor="ctr" anchorCtr="0">
                            <a:noAutofit/>
                          </wps:bodyPr>
                        </wps:wsp>
                      </wpg:grpSp>
                      <wpg:grpSp>
                        <wpg:cNvPr id="28" name="Group 28"/>
                        <wpg:cNvGrpSpPr/>
                        <wpg:grpSpPr>
                          <a:xfrm>
                            <a:off x="4584546" y="3553293"/>
                            <a:ext cx="1907666" cy="591870"/>
                            <a:chOff x="4584546" y="3553293"/>
                            <a:chExt cx="1183741" cy="591870"/>
                          </a:xfrm>
                        </wpg:grpSpPr>
                        <wps:wsp>
                          <wps:cNvPr id="40" name="Rectangle 40"/>
                          <wps:cNvSpPr/>
                          <wps:spPr>
                            <a:xfrm>
                              <a:off x="4584546" y="3553293"/>
                              <a:ext cx="1183741" cy="591870"/>
                            </a:xfrm>
                            <a:prstGeom prst="rect">
                              <a:avLst/>
                            </a:prstGeom>
                          </wps:spPr>
                          <wps:style>
                            <a:lnRef idx="1">
                              <a:schemeClr val="accent1"/>
                            </a:lnRef>
                            <a:fillRef idx="3">
                              <a:schemeClr val="accent1"/>
                            </a:fillRef>
                            <a:effectRef idx="2">
                              <a:schemeClr val="accent1"/>
                            </a:effectRef>
                            <a:fontRef idx="minor">
                              <a:schemeClr val="lt1"/>
                            </a:fontRef>
                          </wps:style>
                          <wps:bodyPr/>
                        </wps:wsp>
                        <wps:wsp>
                          <wps:cNvPr id="41" name="Rectangle 41"/>
                          <wps:cNvSpPr/>
                          <wps:spPr>
                            <a:xfrm>
                              <a:off x="4584546" y="3553293"/>
                              <a:ext cx="1183741" cy="59187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Giudice di Pace</w:t>
                                </w:r>
                              </w:p>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 xml:space="preserve">Dott. </w:t>
                                </w:r>
                                <w:proofErr w:type="spellStart"/>
                                <w:r w:rsidRPr="00A55991">
                                  <w:rPr>
                                    <w:rFonts w:asciiTheme="minorHAnsi" w:hAnsi="Calibri" w:cstheme="minorBidi"/>
                                    <w:color w:val="FFFFFF" w:themeColor="light1"/>
                                    <w:kern w:val="24"/>
                                  </w:rPr>
                                  <w:t>ssa</w:t>
                                </w:r>
                                <w:proofErr w:type="spellEnd"/>
                                <w:r w:rsidRPr="00A55991">
                                  <w:rPr>
                                    <w:rFonts w:asciiTheme="minorHAnsi" w:hAnsi="Calibri" w:cstheme="minorBidi"/>
                                    <w:color w:val="FFFFFF" w:themeColor="light1"/>
                                    <w:kern w:val="24"/>
                                  </w:rPr>
                                  <w:t xml:space="preserve"> </w:t>
                                </w:r>
                                <w:proofErr w:type="spellStart"/>
                                <w:r w:rsidRPr="00A55991">
                                  <w:rPr>
                                    <w:rFonts w:asciiTheme="minorHAnsi" w:hAnsi="Calibri" w:cstheme="minorBidi"/>
                                    <w:color w:val="FFFFFF" w:themeColor="light1"/>
                                    <w:kern w:val="24"/>
                                  </w:rPr>
                                  <w:t>Parpajola</w:t>
                                </w:r>
                                <w:proofErr w:type="spellEnd"/>
                              </w:p>
                            </w:txbxContent>
                          </wps:txbx>
                          <wps:bodyPr spcFirstLastPara="0" vert="horz" wrap="square" lIns="8255" tIns="8255" rIns="8255" bIns="8255" numCol="1" spcCol="1270" anchor="ctr" anchorCtr="0">
                            <a:noAutofit/>
                          </wps:bodyPr>
                        </wps:wsp>
                      </wpg:grpSp>
                      <wpg:grpSp>
                        <wpg:cNvPr id="29" name="Group 29"/>
                        <wpg:cNvGrpSpPr/>
                        <wpg:grpSpPr>
                          <a:xfrm>
                            <a:off x="6624771" y="3553293"/>
                            <a:ext cx="1907669" cy="591870"/>
                            <a:chOff x="6624771" y="3553293"/>
                            <a:chExt cx="1183743" cy="591870"/>
                          </a:xfrm>
                        </wpg:grpSpPr>
                        <wps:wsp>
                          <wps:cNvPr id="38" name="Rectangle 38"/>
                          <wps:cNvSpPr/>
                          <wps:spPr>
                            <a:xfrm>
                              <a:off x="6624771" y="3553293"/>
                              <a:ext cx="1183741" cy="591870"/>
                            </a:xfrm>
                            <a:prstGeom prst="rect">
                              <a:avLst/>
                            </a:prstGeom>
                          </wps:spPr>
                          <wps:style>
                            <a:lnRef idx="1">
                              <a:schemeClr val="accent1"/>
                            </a:lnRef>
                            <a:fillRef idx="3">
                              <a:schemeClr val="accent1"/>
                            </a:fillRef>
                            <a:effectRef idx="2">
                              <a:schemeClr val="accent1"/>
                            </a:effectRef>
                            <a:fontRef idx="minor">
                              <a:schemeClr val="lt1"/>
                            </a:fontRef>
                          </wps:style>
                          <wps:bodyPr/>
                        </wps:wsp>
                        <wps:wsp>
                          <wps:cNvPr id="39" name="Rectangle 39"/>
                          <wps:cNvSpPr/>
                          <wps:spPr>
                            <a:xfrm>
                              <a:off x="6624773" y="3553293"/>
                              <a:ext cx="1183741" cy="59187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Giudice di Pace</w:t>
                                </w:r>
                              </w:p>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 xml:space="preserve"> Dott. </w:t>
                                </w:r>
                                <w:proofErr w:type="spellStart"/>
                                <w:r w:rsidRPr="00A55991">
                                  <w:rPr>
                                    <w:rFonts w:asciiTheme="minorHAnsi" w:hAnsi="Calibri" w:cstheme="minorBidi"/>
                                    <w:color w:val="FFFFFF" w:themeColor="light1"/>
                                    <w:kern w:val="24"/>
                                  </w:rPr>
                                  <w:t>ssa</w:t>
                                </w:r>
                                <w:proofErr w:type="spellEnd"/>
                                <w:r w:rsidRPr="00A55991">
                                  <w:rPr>
                                    <w:rFonts w:asciiTheme="minorHAnsi" w:hAnsi="Calibri" w:cstheme="minorBidi"/>
                                    <w:color w:val="FFFFFF" w:themeColor="light1"/>
                                    <w:kern w:val="24"/>
                                  </w:rPr>
                                  <w:t xml:space="preserve"> </w:t>
                                </w:r>
                                <w:proofErr w:type="spellStart"/>
                                <w:r w:rsidRPr="00A55991">
                                  <w:rPr>
                                    <w:rFonts w:asciiTheme="minorHAnsi" w:hAnsi="Calibri" w:cstheme="minorBidi"/>
                                    <w:color w:val="FFFFFF" w:themeColor="light1"/>
                                    <w:kern w:val="24"/>
                                  </w:rPr>
                                  <w:t>Stivan</w:t>
                                </w:r>
                                <w:proofErr w:type="spellEnd"/>
                              </w:p>
                            </w:txbxContent>
                          </wps:txbx>
                          <wps:bodyPr spcFirstLastPara="0" vert="horz" wrap="square" lIns="8255" tIns="8255" rIns="8255" bIns="8255" numCol="1" spcCol="1270" anchor="ctr" anchorCtr="0">
                            <a:noAutofit/>
                          </wps:bodyPr>
                        </wps:wsp>
                      </wpg:grpSp>
                      <wps:wsp>
                        <wps:cNvPr id="30" name="Elbow Connector 30"/>
                        <wps:cNvCnPr>
                          <a:stCxn id="45" idx="2"/>
                          <a:endCxn id="41" idx="0"/>
                        </wps:cNvCnPr>
                        <wps:spPr>
                          <a:xfrm rot="16200000" flipH="1">
                            <a:off x="4740158" y="2755071"/>
                            <a:ext cx="556341" cy="1040101"/>
                          </a:xfrm>
                          <a:prstGeom prst="bentConnector3">
                            <a:avLst>
                              <a:gd name="adj1" fmla="val 50000"/>
                            </a:avLst>
                          </a:prstGeom>
                          <a:ln>
                            <a:prstDash val="dash"/>
                          </a:ln>
                        </wps:spPr>
                        <wps:style>
                          <a:lnRef idx="1">
                            <a:schemeClr val="accent1"/>
                          </a:lnRef>
                          <a:fillRef idx="3">
                            <a:schemeClr val="accent1"/>
                          </a:fillRef>
                          <a:effectRef idx="2">
                            <a:schemeClr val="accent1"/>
                          </a:effectRef>
                          <a:fontRef idx="minor">
                            <a:schemeClr val="lt1"/>
                          </a:fontRef>
                        </wps:style>
                        <wps:bodyPr/>
                      </wps:wsp>
                      <wps:wsp>
                        <wps:cNvPr id="31" name="Elbow Connector 31"/>
                        <wps:cNvCnPr>
                          <a:stCxn id="45" idx="2"/>
                          <a:endCxn id="39" idx="0"/>
                        </wps:cNvCnPr>
                        <wps:spPr>
                          <a:xfrm rot="16200000" flipH="1">
                            <a:off x="5760272" y="1734957"/>
                            <a:ext cx="556341" cy="3080329"/>
                          </a:xfrm>
                          <a:prstGeom prst="bentConnector3">
                            <a:avLst>
                              <a:gd name="adj1" fmla="val 50000"/>
                            </a:avLst>
                          </a:prstGeom>
                          <a:ln>
                            <a:prstDash val="dash"/>
                          </a:ln>
                        </wps:spPr>
                        <wps:style>
                          <a:lnRef idx="1">
                            <a:schemeClr val="accent1"/>
                          </a:lnRef>
                          <a:fillRef idx="3">
                            <a:schemeClr val="accent1"/>
                          </a:fillRef>
                          <a:effectRef idx="2">
                            <a:schemeClr val="accent1"/>
                          </a:effectRef>
                          <a:fontRef idx="minor">
                            <a:schemeClr val="lt1"/>
                          </a:fontRef>
                        </wps:style>
                        <wps:bodyPr/>
                      </wps:wsp>
                      <wpg:grpSp>
                        <wpg:cNvPr id="32" name="Group 32"/>
                        <wpg:cNvGrpSpPr/>
                        <wpg:grpSpPr>
                          <a:xfrm>
                            <a:off x="504094" y="3553293"/>
                            <a:ext cx="1907666" cy="591870"/>
                            <a:chOff x="504094" y="3553293"/>
                            <a:chExt cx="1183741" cy="591870"/>
                          </a:xfrm>
                        </wpg:grpSpPr>
                        <wps:wsp>
                          <wps:cNvPr id="36" name="Rectangle 36"/>
                          <wps:cNvSpPr/>
                          <wps:spPr>
                            <a:xfrm>
                              <a:off x="504094" y="3553293"/>
                              <a:ext cx="1183741" cy="591870"/>
                            </a:xfrm>
                            <a:prstGeom prst="rect">
                              <a:avLst/>
                            </a:prstGeom>
                          </wps:spPr>
                          <wps:style>
                            <a:lnRef idx="1">
                              <a:schemeClr val="accent1"/>
                            </a:lnRef>
                            <a:fillRef idx="3">
                              <a:schemeClr val="accent1"/>
                            </a:fillRef>
                            <a:effectRef idx="2">
                              <a:schemeClr val="accent1"/>
                            </a:effectRef>
                            <a:fontRef idx="minor">
                              <a:schemeClr val="lt1"/>
                            </a:fontRef>
                          </wps:style>
                          <wps:bodyPr/>
                        </wps:wsp>
                        <wps:wsp>
                          <wps:cNvPr id="37" name="Rectangle 37"/>
                          <wps:cNvSpPr/>
                          <wps:spPr>
                            <a:xfrm>
                              <a:off x="504094" y="3553293"/>
                              <a:ext cx="1183741" cy="59187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Giudice di Pace</w:t>
                                </w:r>
                              </w:p>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 xml:space="preserve">Dott. </w:t>
                                </w:r>
                                <w:proofErr w:type="spellStart"/>
                                <w:r w:rsidRPr="00A55991">
                                  <w:rPr>
                                    <w:rFonts w:asciiTheme="minorHAnsi" w:hAnsi="Calibri" w:cstheme="minorBidi"/>
                                    <w:color w:val="FFFFFF" w:themeColor="light1"/>
                                    <w:kern w:val="24"/>
                                  </w:rPr>
                                  <w:t>ssa</w:t>
                                </w:r>
                                <w:proofErr w:type="spellEnd"/>
                                <w:r w:rsidRPr="00A55991">
                                  <w:rPr>
                                    <w:rFonts w:asciiTheme="minorHAnsi" w:hAnsi="Calibri" w:cstheme="minorBidi"/>
                                    <w:color w:val="FFFFFF" w:themeColor="light1"/>
                                    <w:kern w:val="24"/>
                                  </w:rPr>
                                  <w:t xml:space="preserve"> Alessandrini</w:t>
                                </w:r>
                              </w:p>
                            </w:txbxContent>
                          </wps:txbx>
                          <wps:bodyPr spcFirstLastPara="0" vert="horz" wrap="square" lIns="8255" tIns="8255" rIns="8255" bIns="8255" numCol="1" spcCol="1270" anchor="ctr" anchorCtr="0">
                            <a:noAutofit/>
                          </wps:bodyPr>
                        </wps:wsp>
                      </wpg:grpSp>
                      <wps:wsp>
                        <wps:cNvPr id="33" name="Elbow Connector 33"/>
                        <wps:cNvCnPr>
                          <a:stCxn id="45" idx="2"/>
                          <a:endCxn id="43" idx="0"/>
                        </wps:cNvCnPr>
                        <wps:spPr>
                          <a:xfrm rot="5400000">
                            <a:off x="3720046" y="2775060"/>
                            <a:ext cx="556341" cy="1000125"/>
                          </a:xfrm>
                          <a:prstGeom prst="bentConnector3">
                            <a:avLst>
                              <a:gd name="adj1" fmla="val 50000"/>
                            </a:avLst>
                          </a:prstGeom>
                          <a:ln>
                            <a:prstDash val="dash"/>
                          </a:ln>
                        </wps:spPr>
                        <wps:style>
                          <a:lnRef idx="1">
                            <a:schemeClr val="accent1"/>
                          </a:lnRef>
                          <a:fillRef idx="3">
                            <a:schemeClr val="accent1"/>
                          </a:fillRef>
                          <a:effectRef idx="2">
                            <a:schemeClr val="accent1"/>
                          </a:effectRef>
                          <a:fontRef idx="minor">
                            <a:schemeClr val="lt1"/>
                          </a:fontRef>
                        </wps:style>
                        <wps:bodyPr/>
                      </wps:wsp>
                      <wps:wsp>
                        <wps:cNvPr id="35" name="Elbow Connector 35"/>
                        <wps:cNvCnPr>
                          <a:stCxn id="45" idx="2"/>
                          <a:endCxn id="37" idx="0"/>
                        </wps:cNvCnPr>
                        <wps:spPr>
                          <a:xfrm rot="5400000">
                            <a:off x="2699933" y="1754947"/>
                            <a:ext cx="556341" cy="3040351"/>
                          </a:xfrm>
                          <a:prstGeom prst="bentConnector3">
                            <a:avLst>
                              <a:gd name="adj1" fmla="val 50000"/>
                            </a:avLst>
                          </a:prstGeom>
                          <a:ln>
                            <a:prstDash val="dash"/>
                          </a:ln>
                        </wps:spPr>
                        <wps:style>
                          <a:lnRef idx="1">
                            <a:schemeClr val="accent1"/>
                          </a:lnRef>
                          <a:fillRef idx="3">
                            <a:schemeClr val="accent1"/>
                          </a:fillRef>
                          <a:effectRef idx="2">
                            <a:schemeClr val="accent1"/>
                          </a:effectRef>
                          <a:fontRef idx="minor">
                            <a:schemeClr val="lt1"/>
                          </a:fontRef>
                        </wps:style>
                        <wps:bodyPr/>
                      </wps:wsp>
                    </wpg:wgp>
                  </a:graphicData>
                </a:graphic>
              </wp:inline>
            </w:drawing>
          </mc:Choice>
          <mc:Fallback>
            <w:pict>
              <v:group id="Group 33" o:spid="_x0000_s1026" style="width:497.25pt;height:137pt;mso-position-horizontal-relative:char;mso-position-vertical-relative:line" coordorigin="5040,24050" coordsize="80283,1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">
                <v:group id="Group 26" o:spid="_x0000_s1027" style="position:absolute;left:34541;top:24050;width:20882;height:5919" coordorigin="34541,24050" coordsize="11837,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44" o:spid="_x0000_s1028" style="position:absolute;left:34541;top:24050;width:11838;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LsMMA&#10;AADbAAAADwAAAGRycy9kb3ducmV2LnhtbESPQWsCMRSE74X+h/AK3mq2VYqsRikFoYgXbavXx+aZ&#10;rCYvS5Lq6q9vCoUeh5n5hpkteu/EmWJqAyt4GlYgiJugWzYKPj+WjxMQKSNrdIFJwZUSLOb3dzOs&#10;dbjwhs7bbESBcKpRgc25q6VMjSWPaRg64uIdQvSYi4xG6oiXAvdOPlfVi/TYclmw2NGbpea0/fYK&#10;4v7Lbcyu3/HIkbHL1W11Wx+VGjz0r1MQmfr8H/5rv2sF4zH8fik/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tLsM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rect>
                  <v:rect id="Rectangle 45" o:spid="_x0000_s1029" style="position:absolute;left:34541;top:24050;width:11838;height:5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B88QA&#10;AADbAAAADwAAAGRycy9kb3ducmV2LnhtbESPQWvCQBSE7wX/w/KE3upGsbWkbkQMQnuSqpQeH9ln&#10;sjH7NmTXJP333ULB4zAz3zDrzWgb0VPnjWMF81kCgrhw2nCp4HzaP72C8AFZY+OYFPyQh002eVhj&#10;qt3An9QfQykihH2KCqoQ2lRKX1Rk0c9cSxy9i+sshii7UuoOhwi3jVwkyYu0aDguVNjSrqLierxZ&#10;Bd+rpcm/6mE3fBh/cNu+PuSYK/U4HbdvIAKN4R7+b79rBctn+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AfP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inset=".65pt,.65pt,.65pt,.65pt">
                      <w:txbxContent>
                        <w:p w:rsidR="00B168EB" w:rsidRDefault="00B168EB" w:rsidP="00EF3B4A">
                          <w:pPr>
                            <w:pStyle w:val="NormalWeb"/>
                            <w:spacing w:before="0" w:beforeAutospacing="0" w:after="109" w:afterAutospacing="0" w:line="216" w:lineRule="auto"/>
                            <w:jc w:val="center"/>
                            <w:rPr>
                              <w:rFonts w:asciiTheme="minorHAnsi" w:hAnsi="Calibri" w:cstheme="minorBidi"/>
                              <w:color w:val="FFFFFF" w:themeColor="light1"/>
                              <w:kern w:val="24"/>
                            </w:rPr>
                          </w:pPr>
                          <w:r w:rsidRPr="00A55991">
                            <w:rPr>
                              <w:rFonts w:asciiTheme="minorHAnsi" w:hAnsi="Calibri" w:cstheme="minorBidi"/>
                              <w:color w:val="FFFFFF" w:themeColor="light1"/>
                              <w:kern w:val="24"/>
                            </w:rPr>
                            <w:t xml:space="preserve">Giudice di Pace Coordinatore  </w:t>
                          </w:r>
                        </w:p>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 xml:space="preserve">Dott. </w:t>
                          </w:r>
                          <w:proofErr w:type="spellStart"/>
                          <w:r w:rsidRPr="00A55991">
                            <w:rPr>
                              <w:rFonts w:asciiTheme="minorHAnsi" w:hAnsi="Calibri" w:cstheme="minorBidi"/>
                              <w:color w:val="FFFFFF" w:themeColor="light1"/>
                              <w:kern w:val="24"/>
                            </w:rPr>
                            <w:t>Zampese</w:t>
                          </w:r>
                          <w:proofErr w:type="spellEnd"/>
                        </w:p>
                      </w:txbxContent>
                    </v:textbox>
                  </v:rect>
                </v:group>
                <v:group id="Group 27" o:spid="_x0000_s1030" style="position:absolute;left:25443;top:35532;width:19076;height:5919" coordorigin="25443,35532" coordsize="11837,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42" o:spid="_x0000_s1031" style="position:absolute;left:25443;top:35532;width:11837;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2X8MA&#10;AADbAAAADwAAAGRycy9kb3ducmV2LnhtbESPQUsDMRSE74L/ITzBm83aisja7CJCQYqXtlqvj80z&#10;2TZ5WZK0XfvrjVDwOMzMN8y8Hb0TR4qpD6zgflKBIO6C7tko+Ngs7p5ApIys0QUmBT+UoG2ur+ZY&#10;63DiFR3X2YgC4VSjApvzUEuZOkse0yQMxMX7DtFjLjIaqSOeCtw7Oa2qR+mx57JgcaBXS91+ffAK&#10;4tenW5ntuOWZI2MXy/Py/L5T6vZmfHkGkWnM/+FL+00reJjC35fyA2T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52X8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rect>
                  <v:rect id="Rectangle 43" o:spid="_x0000_s1032" style="position:absolute;left:25443;top:35532;width:11837;height:5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8HMMA&#10;AADbAAAADwAAAGRycy9kb3ducmV2LnhtbESPQWvCQBSE74L/YXlCb7rRipbUVcQgtCfRSunxkX0m&#10;q9m3Ibsm6b/vCkKPw8x8w6w2va1ES403jhVMJwkI4txpw4WC89d+/AbCB2SNlWNS8EseNuvhYIWp&#10;dh0fqT2FQkQI+xQVlCHUqZQ+L8min7iaOHoX11gMUTaF1A12EW4rOUuShbRoOC6UWNOupPx2ulsF&#10;P8u5yb6v3a77NP7gtu31kGGm1Muo376DCNSH//Cz/aEVzF/h8S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U8HM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inset=".65pt,.65pt,.65pt,.65pt">
                      <w:txbxContent>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Giudice di Pace</w:t>
                          </w:r>
                        </w:p>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 xml:space="preserve">Dott. </w:t>
                          </w:r>
                          <w:proofErr w:type="spellStart"/>
                          <w:r w:rsidRPr="00A55991">
                            <w:rPr>
                              <w:rFonts w:asciiTheme="minorHAnsi" w:hAnsi="Calibri" w:cstheme="minorBidi"/>
                              <w:color w:val="FFFFFF" w:themeColor="light1"/>
                              <w:kern w:val="24"/>
                            </w:rPr>
                            <w:t>ssa</w:t>
                          </w:r>
                          <w:proofErr w:type="spellEnd"/>
                          <w:r w:rsidRPr="00A55991">
                            <w:rPr>
                              <w:rFonts w:asciiTheme="minorHAnsi" w:hAnsi="Calibri" w:cstheme="minorBidi"/>
                              <w:color w:val="FFFFFF" w:themeColor="light1"/>
                              <w:kern w:val="24"/>
                            </w:rPr>
                            <w:t xml:space="preserve"> </w:t>
                          </w:r>
                          <w:proofErr w:type="spellStart"/>
                          <w:r w:rsidRPr="00A55991">
                            <w:rPr>
                              <w:rFonts w:asciiTheme="minorHAnsi" w:hAnsi="Calibri" w:cstheme="minorBidi"/>
                              <w:color w:val="FFFFFF" w:themeColor="light1"/>
                              <w:kern w:val="24"/>
                            </w:rPr>
                            <w:t>Nupieri</w:t>
                          </w:r>
                          <w:proofErr w:type="spellEnd"/>
                        </w:p>
                      </w:txbxContent>
                    </v:textbox>
                  </v:rect>
                </v:group>
                <v:group id="Group 28" o:spid="_x0000_s1033" style="position:absolute;left:45845;top:35532;width:19077;height:5919" coordorigin="45845,35532" coordsize="11837,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40" o:spid="_x0000_s1034" style="position:absolute;left:45845;top:35532;width:11837;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Ns8AA&#10;AADbAAAADwAAAGRycy9kb3ducmV2LnhtbERPy2oCMRTdF/yHcIXuaqa2SJkapQiCSDc+u71MbpNp&#10;k5shiTr165uF4PJw3tN57504U0xtYAXPowoEcRN0y0bBfrd8egORMrJGF5gU/FGC+WzwMMVahwtv&#10;6LzNRpQQTjUqsDl3tZSpseQxjUJHXLjvED3mAqOROuKlhHsnx1U1kR5bLg0WO1pYan63J68gfh3c&#10;xhz7I784Mna5vq6vnz9KPQ77j3cQmfp8F9/cK63gtawvX8oPk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BNs8AAAADbAAAADwAAAAAAAAAAAAAAAACYAgAAZHJzL2Rvd25y&#10;ZXYueG1sUEsFBgAAAAAEAAQA9QAAAIUDAAAAAA==&#10;" fillcolor="#254163 [1636]" strokecolor="#4579b8 [3044]">
                    <v:fill color2="#4477b6 [3012]" rotate="t" angle="180" colors="0 #2c5d98;52429f #3c7bc7;1 #3a7ccb" focus="100%" type="gradient">
                      <o:fill v:ext="view" type="gradientUnscaled"/>
                    </v:fill>
                    <v:shadow on="t" color="black" opacity="22937f" origin=",.5" offset="0,.63889mm"/>
                  </v:rect>
                  <v:rect id="Rectangle 41" o:spid="_x0000_s1035" style="position:absolute;left:45845;top:35532;width:11837;height:5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H8MMA&#10;AADbAAAADwAAAGRycy9kb3ducmV2LnhtbESPQWvCQBSE7wX/w/KE3upGkSrRVcQgtCfRFvH4yD6T&#10;1ezbkN0m8d+7BcHjMDPfMMt1byvRUuONYwXjUQKCOHfacKHg92f3MQfhA7LGyjEpuJOH9WrwtsRU&#10;u44P1B5DISKEfYoKyhDqVEqfl2TRj1xNHL2LayyGKJtC6ga7CLeVnCTJp7RoOC6UWNO2pPx2/LMK&#10;zrOpyU7Xbtt9G793m/a6zzBT6n3YbxYgAvXhFX62v7SC6Rj+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H8M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inset=".65pt,.65pt,.65pt,.65pt">
                      <w:txbxContent>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Giudice di Pace</w:t>
                          </w:r>
                        </w:p>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 xml:space="preserve">Dott. </w:t>
                          </w:r>
                          <w:proofErr w:type="spellStart"/>
                          <w:r w:rsidRPr="00A55991">
                            <w:rPr>
                              <w:rFonts w:asciiTheme="minorHAnsi" w:hAnsi="Calibri" w:cstheme="minorBidi"/>
                              <w:color w:val="FFFFFF" w:themeColor="light1"/>
                              <w:kern w:val="24"/>
                            </w:rPr>
                            <w:t>ssa</w:t>
                          </w:r>
                          <w:proofErr w:type="spellEnd"/>
                          <w:r w:rsidRPr="00A55991">
                            <w:rPr>
                              <w:rFonts w:asciiTheme="minorHAnsi" w:hAnsi="Calibri" w:cstheme="minorBidi"/>
                              <w:color w:val="FFFFFF" w:themeColor="light1"/>
                              <w:kern w:val="24"/>
                            </w:rPr>
                            <w:t xml:space="preserve"> </w:t>
                          </w:r>
                          <w:proofErr w:type="spellStart"/>
                          <w:r w:rsidRPr="00A55991">
                            <w:rPr>
                              <w:rFonts w:asciiTheme="minorHAnsi" w:hAnsi="Calibri" w:cstheme="minorBidi"/>
                              <w:color w:val="FFFFFF" w:themeColor="light1"/>
                              <w:kern w:val="24"/>
                            </w:rPr>
                            <w:t>Parpajola</w:t>
                          </w:r>
                          <w:proofErr w:type="spellEnd"/>
                        </w:p>
                      </w:txbxContent>
                    </v:textbox>
                  </v:rect>
                </v:group>
                <v:group id="Group 29" o:spid="_x0000_s1036" style="position:absolute;left:66247;top:35532;width:19077;height:5919" coordorigin="66247,35532" coordsize="11837,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8" o:spid="_x0000_s1037" style="position:absolute;left:66247;top:35532;width:11838;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yyL8A&#10;AADbAAAADwAAAGRycy9kb3ducmV2LnhtbERPTWsCMRC9F/wPYQRvNWuFUrZGEUEQ8aK29jpspsm2&#10;yWRJUl399eZQ8Ph437NF7504U0xtYAWTcQWCuAm6ZaPg47h+fgORMrJGF5gUXCnBYj54mmGtw4X3&#10;dD5kI0oIpxoV2Jy7WsrUWPKYxqEjLtx3iB5zgdFIHfFSwr2TL1X1Kj22XBosdrSy1Pwe/ryC+PXp&#10;9ubUn3jqyNj19ra97X6UGg375TuITH1+iP/dG61gWsaWL+U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DLIvwAAANsAAAAPAAAAAAAAAAAAAAAAAJgCAABkcnMvZG93bnJl&#10;di54bWxQSwUGAAAAAAQABAD1AAAAhAMAAAAA&#10;" fillcolor="#254163 [1636]" strokecolor="#4579b8 [3044]">
                    <v:fill color2="#4477b6 [3012]" rotate="t" angle="180" colors="0 #2c5d98;52429f #3c7bc7;1 #3a7ccb" focus="100%" type="gradient">
                      <o:fill v:ext="view" type="gradientUnscaled"/>
                    </v:fill>
                    <v:shadow on="t" color="black" opacity="22937f" origin=",.5" offset="0,.63889mm"/>
                  </v:rect>
                  <v:rect id="Rectangle 39" o:spid="_x0000_s1038" style="position:absolute;left:66247;top:35532;width:11838;height:5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4i8QA&#10;AADbAAAADwAAAGRycy9kb3ducmV2LnhtbESPT2vCQBTE7wW/w/KE3urGP9QaXUUMhXoSbSkeH9ln&#10;spp9G7LbJH57t1DocZiZ3zCrTW8r0VLjjWMF41ECgjh32nCh4Ovz/eUNhA/IGivHpOBOHjbrwdMK&#10;U+06PlJ7CoWIEPYpKihDqFMpfV6SRT9yNXH0Lq6xGKJsCqkb7CLcVnKSJK/SouG4UGJNu5Ly2+nH&#10;KjjPZyb7vna7bm/8wW3b6yHDTKnnYb9dggjUh//wX/tDK5gu4Pd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7eIv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inset=".65pt,.65pt,.65pt,.65pt">
                      <w:txbxContent>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Giudice di Pace</w:t>
                          </w:r>
                        </w:p>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 xml:space="preserve"> Dott. </w:t>
                          </w:r>
                          <w:proofErr w:type="spellStart"/>
                          <w:r w:rsidRPr="00A55991">
                            <w:rPr>
                              <w:rFonts w:asciiTheme="minorHAnsi" w:hAnsi="Calibri" w:cstheme="minorBidi"/>
                              <w:color w:val="FFFFFF" w:themeColor="light1"/>
                              <w:kern w:val="24"/>
                            </w:rPr>
                            <w:t>ssa</w:t>
                          </w:r>
                          <w:proofErr w:type="spellEnd"/>
                          <w:r w:rsidRPr="00A55991">
                            <w:rPr>
                              <w:rFonts w:asciiTheme="minorHAnsi" w:hAnsi="Calibri" w:cstheme="minorBidi"/>
                              <w:color w:val="FFFFFF" w:themeColor="light1"/>
                              <w:kern w:val="24"/>
                            </w:rPr>
                            <w:t xml:space="preserve"> </w:t>
                          </w:r>
                          <w:proofErr w:type="spellStart"/>
                          <w:r w:rsidRPr="00A55991">
                            <w:rPr>
                              <w:rFonts w:asciiTheme="minorHAnsi" w:hAnsi="Calibri" w:cstheme="minorBidi"/>
                              <w:color w:val="FFFFFF" w:themeColor="light1"/>
                              <w:kern w:val="24"/>
                            </w:rPr>
                            <w:t>Stivan</w:t>
                          </w:r>
                          <w:proofErr w:type="spellEnd"/>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 o:spid="_x0000_s1039" type="#_x0000_t34" style="position:absolute;left:47401;top:27550;width:5563;height:104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KusMAAADbAAAADwAAAGRycy9kb3ducmV2LnhtbERPTWvCQBC9C/6HZYReRDdtRSS6Sim1&#10;lBJSTEQ8DtkxCWZnQ3Y16b/vHoQeH+97sxtMI+7Uudqygud5BIK4sLrmUsEx389WIJxH1thYJgW/&#10;5GC3HY82GGvb84HumS9FCGEXo4LK+zaW0hUVGXRz2xIH7mI7gz7ArpS6wz6Em0a+RNFSGqw5NFTY&#10;0ntFxTW7GQV5ku4/8/Q7OyX1xzn56afytkiVepoMb2sQngb/L364v7SC17A+fA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nCrrDAAAA2wAAAA8AAAAAAAAAAAAA&#10;AAAAoQIAAGRycy9kb3ducmV2LnhtbFBLBQYAAAAABAAEAPkAAACRAwAAAAA=&#10;" filled="t" fillcolor="#254163 [1636]" strokecolor="#4579b8 [3044]">
                  <v:fill color2="#4477b6 [3012]" rotate="t" angle="180" colors="0 #2c5d98;52429f #3c7bc7;1 #3a7ccb" focus="100%" type="gradient">
                    <o:fill v:ext="view" type="gradientUnscaled"/>
                  </v:fill>
                  <v:stroke dashstyle="dash"/>
                  <v:shadow on="t" color="black" opacity="22937f" origin=",.5" offset="0,.63889mm"/>
                </v:shape>
                <v:shape id="Elbow Connector 31" o:spid="_x0000_s1040" type="#_x0000_t34" style="position:absolute;left:57602;top:17349;width:5563;height:3080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vIcYAAADbAAAADwAAAGRycy9kb3ducmV2LnhtbESPQWvCQBSE74L/YXmFXopubEuR6Coi&#10;tZQSUpqIeHxkX5Ng9m3Irib9965Q8DjMzDfMcj2YRlyoc7VlBbNpBIK4sLrmUsE+303mIJxH1thY&#10;JgV/5GC9Go+WGGvb8w9dMl+KAGEXo4LK+zaW0hUVGXRT2xIH79d2Bn2QXSl1h32Am0Y+R9GbNFhz&#10;WKiwpW1FxSk7GwV5ku4+8vQrOyT1+zH57p/k+TVV6vFh2CxAeBr8Pfzf/tQKXmZw+xJ+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rryHGAAAA2wAAAA8AAAAAAAAA&#10;AAAAAAAAoQIAAGRycy9kb3ducmV2LnhtbFBLBQYAAAAABAAEAPkAAACUAwAAAAA=&#10;" filled="t" fillcolor="#254163 [1636]" strokecolor="#4579b8 [3044]">
                  <v:fill color2="#4477b6 [3012]" rotate="t" angle="180" colors="0 #2c5d98;52429f #3c7bc7;1 #3a7ccb" focus="100%" type="gradient">
                    <o:fill v:ext="view" type="gradientUnscaled"/>
                  </v:fill>
                  <v:stroke dashstyle="dash"/>
                  <v:shadow on="t" color="black" opacity="22937f" origin=",.5" offset="0,.63889mm"/>
                </v:shape>
                <v:group id="Group 32" o:spid="_x0000_s1041" style="position:absolute;left:5040;top:35532;width:19077;height:5919" coordorigin="5040,35532" coordsize="11837,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6" o:spid="_x0000_s1042" style="position:absolute;left:5040;top:35532;width:11838;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DIcIA&#10;AADbAAAADwAAAGRycy9kb3ducmV2LnhtbESPQWsCMRSE74X+h/AK3mq2FaSsRhFBKOJFbe31sXkm&#10;q8nLkqS69dc3QqHHYWa+Yabz3jtxoZjawApehhUI4ibolo2Cj/3q+Q1EysgaXWBS8EMJ5rPHhynW&#10;Olx5S5ddNqJAONWowObc1VKmxpLHNAwdcfGOIXrMRUYjdcRrgXsnX6tqLD22XBYsdrS01Jx3315B&#10;/Pp0W3PoDzxyZOxqfVvfNielBk/9YgIiU5//w3/td61gNIb7l/ID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wMhwgAAANs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rect>
                  <v:rect id="Rectangle 37" o:spid="_x0000_s1043" style="position:absolute;left:5040;top:35532;width:11838;height:5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JYsQA&#10;AADbAAAADwAAAGRycy9kb3ducmV2LnhtbESPQWvCQBSE74L/YXmCN93Yllqiq4SEgp6ktpQeH9ln&#10;spp9G7LbJP77bqHQ4zAz3zDb/Wgb0VPnjWMFq2UCgrh02nCl4OP9dfECwgdkjY1jUnAnD/vddLLF&#10;VLuB36g/h0pECPsUFdQhtKmUvqzJol+6ljh6F9dZDFF2ldQdDhFuG/mQJM/SouG4UGNLeU3l7fxt&#10;FXytn0zxeR3y4Wj8yWX99VRgodR8NmYbEIHG8B/+ax+0gsc1/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SWL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inset=".65pt,.65pt,.65pt,.65pt">
                      <w:txbxContent>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Giudice di Pace</w:t>
                          </w:r>
                        </w:p>
                        <w:p w:rsidR="00B168EB" w:rsidRPr="00A55991" w:rsidRDefault="00B168EB" w:rsidP="00EF3B4A">
                          <w:pPr>
                            <w:pStyle w:val="NormalWeb"/>
                            <w:spacing w:before="0" w:beforeAutospacing="0" w:after="109" w:afterAutospacing="0" w:line="216" w:lineRule="auto"/>
                            <w:jc w:val="center"/>
                          </w:pPr>
                          <w:r w:rsidRPr="00A55991">
                            <w:rPr>
                              <w:rFonts w:asciiTheme="minorHAnsi" w:hAnsi="Calibri" w:cstheme="minorBidi"/>
                              <w:color w:val="FFFFFF" w:themeColor="light1"/>
                              <w:kern w:val="24"/>
                            </w:rPr>
                            <w:t xml:space="preserve">Dott. </w:t>
                          </w:r>
                          <w:proofErr w:type="spellStart"/>
                          <w:r w:rsidRPr="00A55991">
                            <w:rPr>
                              <w:rFonts w:asciiTheme="minorHAnsi" w:hAnsi="Calibri" w:cstheme="minorBidi"/>
                              <w:color w:val="FFFFFF" w:themeColor="light1"/>
                              <w:kern w:val="24"/>
                            </w:rPr>
                            <w:t>ssa</w:t>
                          </w:r>
                          <w:proofErr w:type="spellEnd"/>
                          <w:r w:rsidRPr="00A55991">
                            <w:rPr>
                              <w:rFonts w:asciiTheme="minorHAnsi" w:hAnsi="Calibri" w:cstheme="minorBidi"/>
                              <w:color w:val="FFFFFF" w:themeColor="light1"/>
                              <w:kern w:val="24"/>
                            </w:rPr>
                            <w:t xml:space="preserve"> Alessandrini</w:t>
                          </w:r>
                        </w:p>
                      </w:txbxContent>
                    </v:textbox>
                  </v:rect>
                </v:group>
                <v:shape id="Elbow Connector 33" o:spid="_x0000_s1044" type="#_x0000_t34" style="position:absolute;left:37200;top:27750;width:5563;height:100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HfisQAAADbAAAADwAAAGRycy9kb3ducmV2LnhtbESP0WoCMRRE34X+Q7iFvohmVVDZGqVI&#10;BYsVdPUDLpvr7uLmZpukuvXrTUHwcZiZM8xs0ZpaXMj5yrKCQT8BQZxbXXGh4HhY9aYgfEDWWFsm&#10;BX/kYTF/6cww1fbKe7pkoRARwj5FBWUITSqlz0sy6Pu2IY7eyTqDIUpXSO3wGuGmlsMkGUuDFceF&#10;EhtalpSfs1+j4PN7ckZa+832Z6v1rntz9elro9Tba/vxDiJQG57hR3utFYxG8P8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d+KxAAAANsAAAAPAAAAAAAAAAAA&#10;AAAAAKECAABkcnMvZG93bnJldi54bWxQSwUGAAAAAAQABAD5AAAAkgMAAAAA&#10;" filled="t" fillcolor="#254163 [1636]" strokecolor="#4579b8 [3044]">
                  <v:fill color2="#4477b6 [3012]" rotate="t" angle="180" colors="0 #2c5d98;52429f #3c7bc7;1 #3a7ccb" focus="100%" type="gradient">
                    <o:fill v:ext="view" type="gradientUnscaled"/>
                  </v:fill>
                  <v:stroke dashstyle="dash"/>
                  <v:shadow on="t" color="black" opacity="22937f" origin=",.5" offset="0,.63889mm"/>
                </v:shape>
                <v:shape id="Elbow Connector 35" o:spid="_x0000_s1045" type="#_x0000_t34" style="position:absolute;left:26999;top:17549;width:5563;height:3040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iZcQAAADbAAAADwAAAGRycy9kb3ducmV2LnhtbESP0WoCMRRE3wX/IVyhL1KzVmplNYqI&#10;gsUK1voBl811d3FzsyZR1369EQp9HGbmDDOZNaYSV3K+tKyg30tAEGdWl5wrOPysXkcgfEDWWFkm&#10;BXfyMJu2WxNMtb3xN133IRcRwj5FBUUIdSqlzwoy6Hu2Jo7e0TqDIUqXS+3wFuGmkm9JMpQGS44L&#10;Bda0KCg77S9GwfLr44S09pvteav1rvvrquPnRqmXTjMfgwjUhP/wX3utFQze4fkl/g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OJlxAAAANsAAAAPAAAAAAAAAAAA&#10;AAAAAKECAABkcnMvZG93bnJldi54bWxQSwUGAAAAAAQABAD5AAAAkgMAAAAA&#10;" filled="t" fillcolor="#254163 [1636]" strokecolor="#4579b8 [3044]">
                  <v:fill color2="#4477b6 [3012]" rotate="t" angle="180" colors="0 #2c5d98;52429f #3c7bc7;1 #3a7ccb" focus="100%" type="gradient">
                    <o:fill v:ext="view" type="gradientUnscaled"/>
                  </v:fill>
                  <v:stroke dashstyle="dash"/>
                  <v:shadow on="t" color="black" opacity="22937f" origin=",.5" offset="0,.63889mm"/>
                </v:shape>
                <w10:anchorlock/>
              </v:group>
            </w:pict>
          </mc:Fallback>
        </mc:AlternateContent>
      </w:r>
    </w:p>
    <w:p w:rsidR="00E90BB7" w:rsidRDefault="009A0C7C" w:rsidP="00E90BB7">
      <w:pPr>
        <w:spacing w:before="240" w:line="360" w:lineRule="auto"/>
        <w:jc w:val="center"/>
        <w:rPr>
          <w:rFonts w:ascii="Arial" w:hAnsi="Arial" w:cs="Arial"/>
          <w:szCs w:val="24"/>
        </w:rPr>
      </w:pPr>
      <w:r w:rsidRPr="007E6CBE">
        <w:rPr>
          <w:rFonts w:ascii="Arial" w:hAnsi="Arial" w:cs="Arial"/>
          <w:i/>
          <w:sz w:val="18"/>
          <w:szCs w:val="24"/>
        </w:rPr>
        <w:t xml:space="preserve">  Fonte: </w:t>
      </w:r>
      <w:r>
        <w:rPr>
          <w:rFonts w:ascii="Arial" w:hAnsi="Arial" w:cs="Arial"/>
          <w:i/>
          <w:sz w:val="18"/>
          <w:szCs w:val="24"/>
        </w:rPr>
        <w:t>Dirigenza dell’Ufficio</w:t>
      </w:r>
    </w:p>
    <w:p w:rsidR="00E90BB7" w:rsidRDefault="00E90BB7" w:rsidP="00E90BB7">
      <w:pPr>
        <w:spacing w:before="240" w:line="360" w:lineRule="auto"/>
        <w:rPr>
          <w:rFonts w:asciiTheme="minorHAnsi" w:hAnsiTheme="minorHAnsi" w:cstheme="minorHAnsi"/>
          <w:b/>
          <w:bCs/>
          <w:i/>
          <w:szCs w:val="24"/>
        </w:rPr>
      </w:pPr>
    </w:p>
    <w:p w:rsidR="009A0C7C" w:rsidRPr="00E90BB7" w:rsidRDefault="009A0C7C" w:rsidP="00E90BB7">
      <w:pPr>
        <w:spacing w:before="240" w:line="360" w:lineRule="auto"/>
        <w:rPr>
          <w:rFonts w:ascii="Arial" w:hAnsi="Arial" w:cs="Arial"/>
          <w:szCs w:val="24"/>
        </w:rPr>
      </w:pPr>
      <w:r w:rsidRPr="003A1DF4">
        <w:rPr>
          <w:rFonts w:asciiTheme="minorHAnsi" w:hAnsiTheme="minorHAnsi" w:cstheme="minorHAnsi"/>
          <w:b/>
          <w:bCs/>
          <w:i/>
          <w:szCs w:val="24"/>
        </w:rPr>
        <w:t>La struttura amministrativa</w:t>
      </w:r>
    </w:p>
    <w:p w:rsidR="009A0C7C" w:rsidRPr="003A1DF4" w:rsidRDefault="009A0C7C" w:rsidP="003A1DF4">
      <w:pPr>
        <w:spacing w:after="120" w:line="360" w:lineRule="auto"/>
        <w:rPr>
          <w:rFonts w:asciiTheme="minorHAnsi" w:hAnsiTheme="minorHAnsi" w:cstheme="minorHAnsi"/>
          <w:szCs w:val="24"/>
        </w:rPr>
      </w:pPr>
      <w:r w:rsidRPr="003A1DF4">
        <w:rPr>
          <w:rFonts w:asciiTheme="minorHAnsi" w:hAnsiTheme="minorHAnsi" w:cstheme="minorHAnsi"/>
          <w:szCs w:val="24"/>
        </w:rPr>
        <w:t xml:space="preserve">La pianta organica del personale amministrativo (pubblicata nel B.U. n. 5 del 15.3.2010) prevede la presenza di 10 unità, così distribuite: </w:t>
      </w:r>
    </w:p>
    <w:p w:rsidR="009A0C7C" w:rsidRPr="003A1DF4" w:rsidRDefault="009A0C7C" w:rsidP="004C1469">
      <w:pPr>
        <w:pStyle w:val="ListParagraph"/>
        <w:numPr>
          <w:ilvl w:val="0"/>
          <w:numId w:val="4"/>
        </w:numPr>
        <w:overflowPunct w:val="0"/>
        <w:autoSpaceDE w:val="0"/>
        <w:autoSpaceDN w:val="0"/>
        <w:adjustRightInd w:val="0"/>
        <w:spacing w:after="120" w:line="360" w:lineRule="auto"/>
        <w:textAlignment w:val="baseline"/>
        <w:rPr>
          <w:rFonts w:asciiTheme="minorHAnsi" w:hAnsiTheme="minorHAnsi" w:cstheme="minorHAnsi"/>
          <w:szCs w:val="24"/>
        </w:rPr>
      </w:pPr>
      <w:r w:rsidRPr="003A1DF4">
        <w:rPr>
          <w:rFonts w:asciiTheme="minorHAnsi" w:hAnsiTheme="minorHAnsi" w:cstheme="minorHAnsi"/>
          <w:szCs w:val="24"/>
        </w:rPr>
        <w:t>1 funzionario giudiziario;</w:t>
      </w:r>
    </w:p>
    <w:p w:rsidR="009A0C7C" w:rsidRPr="003A1DF4" w:rsidRDefault="009A0C7C" w:rsidP="004C1469">
      <w:pPr>
        <w:pStyle w:val="ListParagraph"/>
        <w:numPr>
          <w:ilvl w:val="0"/>
          <w:numId w:val="4"/>
        </w:numPr>
        <w:overflowPunct w:val="0"/>
        <w:autoSpaceDE w:val="0"/>
        <w:autoSpaceDN w:val="0"/>
        <w:adjustRightInd w:val="0"/>
        <w:spacing w:after="120" w:line="360" w:lineRule="auto"/>
        <w:textAlignment w:val="baseline"/>
        <w:rPr>
          <w:rFonts w:asciiTheme="minorHAnsi" w:hAnsiTheme="minorHAnsi" w:cstheme="minorHAnsi"/>
          <w:szCs w:val="24"/>
        </w:rPr>
      </w:pPr>
      <w:r w:rsidRPr="003A1DF4">
        <w:rPr>
          <w:rFonts w:asciiTheme="minorHAnsi" w:hAnsiTheme="minorHAnsi" w:cstheme="minorHAnsi"/>
          <w:szCs w:val="24"/>
        </w:rPr>
        <w:t>2 cancellieri;</w:t>
      </w:r>
    </w:p>
    <w:p w:rsidR="009A0C7C" w:rsidRPr="003A1DF4" w:rsidRDefault="009A0C7C" w:rsidP="004C1469">
      <w:pPr>
        <w:pStyle w:val="ListParagraph"/>
        <w:numPr>
          <w:ilvl w:val="0"/>
          <w:numId w:val="4"/>
        </w:numPr>
        <w:overflowPunct w:val="0"/>
        <w:autoSpaceDE w:val="0"/>
        <w:autoSpaceDN w:val="0"/>
        <w:adjustRightInd w:val="0"/>
        <w:spacing w:after="120" w:line="360" w:lineRule="auto"/>
        <w:textAlignment w:val="baseline"/>
        <w:rPr>
          <w:rFonts w:asciiTheme="minorHAnsi" w:hAnsiTheme="minorHAnsi" w:cstheme="minorHAnsi"/>
          <w:szCs w:val="24"/>
        </w:rPr>
      </w:pPr>
      <w:r w:rsidRPr="003A1DF4">
        <w:rPr>
          <w:rFonts w:asciiTheme="minorHAnsi" w:hAnsiTheme="minorHAnsi" w:cstheme="minorHAnsi"/>
          <w:szCs w:val="24"/>
        </w:rPr>
        <w:t>3 assistenti giudiziari;</w:t>
      </w:r>
    </w:p>
    <w:p w:rsidR="009A0C7C" w:rsidRPr="003A1DF4" w:rsidRDefault="009A0C7C" w:rsidP="004C1469">
      <w:pPr>
        <w:pStyle w:val="ListParagraph"/>
        <w:numPr>
          <w:ilvl w:val="0"/>
          <w:numId w:val="4"/>
        </w:numPr>
        <w:overflowPunct w:val="0"/>
        <w:autoSpaceDE w:val="0"/>
        <w:autoSpaceDN w:val="0"/>
        <w:adjustRightInd w:val="0"/>
        <w:spacing w:after="120" w:line="360" w:lineRule="auto"/>
        <w:textAlignment w:val="baseline"/>
        <w:rPr>
          <w:rFonts w:asciiTheme="minorHAnsi" w:hAnsiTheme="minorHAnsi" w:cstheme="minorHAnsi"/>
          <w:szCs w:val="24"/>
        </w:rPr>
      </w:pPr>
      <w:r w:rsidRPr="003A1DF4">
        <w:rPr>
          <w:rFonts w:asciiTheme="minorHAnsi" w:hAnsiTheme="minorHAnsi" w:cstheme="minorHAnsi"/>
          <w:szCs w:val="24"/>
        </w:rPr>
        <w:t>2 operatori giudiziari;</w:t>
      </w:r>
    </w:p>
    <w:p w:rsidR="009A0C7C" w:rsidRPr="003A1DF4" w:rsidRDefault="009A0C7C" w:rsidP="004C1469">
      <w:pPr>
        <w:pStyle w:val="ListParagraph"/>
        <w:numPr>
          <w:ilvl w:val="0"/>
          <w:numId w:val="4"/>
        </w:numPr>
        <w:overflowPunct w:val="0"/>
        <w:autoSpaceDE w:val="0"/>
        <w:autoSpaceDN w:val="0"/>
        <w:adjustRightInd w:val="0"/>
        <w:spacing w:after="120" w:line="360" w:lineRule="auto"/>
        <w:textAlignment w:val="baseline"/>
        <w:rPr>
          <w:rFonts w:asciiTheme="minorHAnsi" w:hAnsiTheme="minorHAnsi" w:cstheme="minorHAnsi"/>
          <w:szCs w:val="24"/>
        </w:rPr>
      </w:pPr>
      <w:r w:rsidRPr="003A1DF4">
        <w:rPr>
          <w:rFonts w:asciiTheme="minorHAnsi" w:hAnsiTheme="minorHAnsi" w:cstheme="minorHAnsi"/>
          <w:szCs w:val="24"/>
        </w:rPr>
        <w:t>2 ausiliari.</w:t>
      </w:r>
    </w:p>
    <w:p w:rsidR="009A0C7C" w:rsidRDefault="009A0C7C" w:rsidP="003A1DF4">
      <w:pPr>
        <w:spacing w:after="120" w:line="360" w:lineRule="auto"/>
        <w:rPr>
          <w:rFonts w:ascii="Arial" w:hAnsi="Arial" w:cs="Arial"/>
          <w:szCs w:val="24"/>
        </w:rPr>
      </w:pPr>
      <w:r w:rsidRPr="003A1DF4">
        <w:rPr>
          <w:rFonts w:asciiTheme="minorHAnsi" w:hAnsiTheme="minorHAnsi" w:cstheme="minorHAnsi"/>
          <w:szCs w:val="24"/>
        </w:rPr>
        <w:t xml:space="preserve">Effettivamente in servizio vi è però un totale </w:t>
      </w:r>
      <w:r w:rsidR="00C05496" w:rsidRPr="003A1DF4">
        <w:rPr>
          <w:rFonts w:asciiTheme="minorHAnsi" w:hAnsiTheme="minorHAnsi" w:cstheme="minorHAnsi"/>
          <w:szCs w:val="24"/>
        </w:rPr>
        <w:t>di 8</w:t>
      </w:r>
      <w:r w:rsidRPr="003A1DF4">
        <w:rPr>
          <w:rFonts w:asciiTheme="minorHAnsi" w:hAnsiTheme="minorHAnsi" w:cstheme="minorHAnsi"/>
          <w:szCs w:val="24"/>
        </w:rPr>
        <w:t xml:space="preserve"> persone, a causa di </w:t>
      </w:r>
      <w:r w:rsidR="00917645">
        <w:rPr>
          <w:rFonts w:asciiTheme="minorHAnsi" w:hAnsiTheme="minorHAnsi" w:cstheme="minorHAnsi"/>
          <w:szCs w:val="24"/>
        </w:rPr>
        <w:t>due posti</w:t>
      </w:r>
      <w:r w:rsidR="00B36FA5" w:rsidRPr="003A1DF4">
        <w:rPr>
          <w:rFonts w:asciiTheme="minorHAnsi" w:hAnsiTheme="minorHAnsi" w:cstheme="minorHAnsi"/>
          <w:szCs w:val="24"/>
        </w:rPr>
        <w:t xml:space="preserve"> vacanti (</w:t>
      </w:r>
      <w:r w:rsidR="00C05496" w:rsidRPr="003A1DF4">
        <w:rPr>
          <w:rFonts w:asciiTheme="minorHAnsi" w:hAnsiTheme="minorHAnsi" w:cstheme="minorHAnsi"/>
          <w:szCs w:val="24"/>
        </w:rPr>
        <w:t xml:space="preserve">un cancelliere e </w:t>
      </w:r>
      <w:r w:rsidRPr="003A1DF4">
        <w:rPr>
          <w:rFonts w:asciiTheme="minorHAnsi" w:hAnsiTheme="minorHAnsi" w:cstheme="minorHAnsi"/>
          <w:szCs w:val="24"/>
        </w:rPr>
        <w:t>un funzionario),</w:t>
      </w:r>
      <w:r w:rsidR="00C05496" w:rsidRPr="003A1DF4">
        <w:rPr>
          <w:rFonts w:asciiTheme="minorHAnsi" w:hAnsiTheme="minorHAnsi" w:cstheme="minorHAnsi"/>
          <w:szCs w:val="24"/>
        </w:rPr>
        <w:t xml:space="preserve"> con una scopertura quindi del 2</w:t>
      </w:r>
      <w:r w:rsidRPr="003A1DF4">
        <w:rPr>
          <w:rFonts w:asciiTheme="minorHAnsi" w:hAnsiTheme="minorHAnsi" w:cstheme="minorHAnsi"/>
          <w:szCs w:val="24"/>
        </w:rPr>
        <w:t xml:space="preserve">0% rispetto al totale del personale amministrativo previsto in pianta organica (vedi </w:t>
      </w:r>
      <w:r w:rsidR="00E90BB7">
        <w:fldChar w:fldCharType="begin"/>
      </w:r>
      <w:r w:rsidR="00E90BB7">
        <w:instrText xml:space="preserve"> REF _Ref328055707 \h  \* MERGEFORMAT </w:instrText>
      </w:r>
      <w:r w:rsidR="00E90BB7">
        <w:fldChar w:fldCharType="separate"/>
      </w:r>
      <w:r w:rsidR="00BC4790" w:rsidRPr="00BC4790">
        <w:rPr>
          <w:rFonts w:asciiTheme="minorHAnsi" w:hAnsiTheme="minorHAnsi" w:cstheme="minorHAnsi"/>
          <w:szCs w:val="24"/>
        </w:rPr>
        <w:t>Tabella 2</w:t>
      </w:r>
      <w:r w:rsidR="00E90BB7">
        <w:fldChar w:fldCharType="end"/>
      </w:r>
      <w:r w:rsidRPr="003A1DF4">
        <w:rPr>
          <w:rFonts w:asciiTheme="minorHAnsi" w:hAnsiTheme="minorHAnsi" w:cstheme="minorHAnsi"/>
          <w:szCs w:val="24"/>
        </w:rPr>
        <w:t>).</w:t>
      </w:r>
    </w:p>
    <w:p w:rsidR="009A0C7C" w:rsidRPr="008A6512" w:rsidRDefault="009A0C7C" w:rsidP="00CF17C5">
      <w:pPr>
        <w:pStyle w:val="Caption"/>
        <w:spacing w:after="0" w:line="360" w:lineRule="auto"/>
        <w:rPr>
          <w:rFonts w:asciiTheme="minorHAnsi" w:eastAsia="Times New Roman" w:hAnsiTheme="minorHAnsi" w:cstheme="minorHAnsi"/>
          <w:bCs w:val="0"/>
          <w:i w:val="0"/>
          <w:noProof/>
          <w:szCs w:val="22"/>
          <w:lang w:eastAsia="it-IT"/>
        </w:rPr>
      </w:pPr>
      <w:bookmarkStart w:id="11" w:name="_Ref328055707"/>
      <w:bookmarkStart w:id="12" w:name="_Toc367713306"/>
      <w:r w:rsidRPr="008A6512">
        <w:rPr>
          <w:rFonts w:asciiTheme="minorHAnsi" w:eastAsia="Times New Roman" w:hAnsiTheme="minorHAnsi" w:cstheme="minorHAnsi"/>
          <w:bCs w:val="0"/>
          <w:i w:val="0"/>
          <w:noProof/>
          <w:szCs w:val="22"/>
          <w:lang w:eastAsia="it-IT"/>
        </w:rPr>
        <w:lastRenderedPageBreak/>
        <w:t xml:space="preserve">Tabella </w:t>
      </w:r>
      <w:r w:rsidR="007C1E4D" w:rsidRPr="008A6512">
        <w:rPr>
          <w:rFonts w:asciiTheme="minorHAnsi" w:eastAsia="Times New Roman" w:hAnsiTheme="minorHAnsi" w:cstheme="minorHAnsi"/>
          <w:bCs w:val="0"/>
          <w:i w:val="0"/>
          <w:noProof/>
          <w:szCs w:val="22"/>
          <w:lang w:eastAsia="it-IT"/>
        </w:rPr>
        <w:fldChar w:fldCharType="begin"/>
      </w:r>
      <w:r w:rsidRPr="008A6512">
        <w:rPr>
          <w:rFonts w:asciiTheme="minorHAnsi" w:eastAsia="Times New Roman" w:hAnsiTheme="minorHAnsi" w:cstheme="minorHAnsi"/>
          <w:bCs w:val="0"/>
          <w:i w:val="0"/>
          <w:noProof/>
          <w:szCs w:val="22"/>
          <w:lang w:eastAsia="it-IT"/>
        </w:rPr>
        <w:instrText xml:space="preserve"> SEQ Tabella \* ARABIC </w:instrText>
      </w:r>
      <w:r w:rsidR="007C1E4D" w:rsidRPr="008A6512">
        <w:rPr>
          <w:rFonts w:asciiTheme="minorHAnsi" w:eastAsia="Times New Roman" w:hAnsiTheme="minorHAnsi" w:cstheme="minorHAnsi"/>
          <w:bCs w:val="0"/>
          <w:i w:val="0"/>
          <w:noProof/>
          <w:szCs w:val="22"/>
          <w:lang w:eastAsia="it-IT"/>
        </w:rPr>
        <w:fldChar w:fldCharType="separate"/>
      </w:r>
      <w:r w:rsidR="00BC4790">
        <w:rPr>
          <w:rFonts w:asciiTheme="minorHAnsi" w:eastAsia="Times New Roman" w:hAnsiTheme="minorHAnsi" w:cstheme="minorHAnsi"/>
          <w:bCs w:val="0"/>
          <w:i w:val="0"/>
          <w:noProof/>
          <w:szCs w:val="22"/>
          <w:lang w:eastAsia="it-IT"/>
        </w:rPr>
        <w:t>2</w:t>
      </w:r>
      <w:r w:rsidR="007C1E4D" w:rsidRPr="008A6512">
        <w:rPr>
          <w:rFonts w:asciiTheme="minorHAnsi" w:eastAsia="Times New Roman" w:hAnsiTheme="minorHAnsi" w:cstheme="minorHAnsi"/>
          <w:bCs w:val="0"/>
          <w:i w:val="0"/>
          <w:noProof/>
          <w:szCs w:val="22"/>
          <w:lang w:eastAsia="it-IT"/>
        </w:rPr>
        <w:fldChar w:fldCharType="end"/>
      </w:r>
      <w:bookmarkEnd w:id="11"/>
      <w:r w:rsidR="005B0F3D">
        <w:rPr>
          <w:rFonts w:asciiTheme="minorHAnsi" w:eastAsia="Times New Roman" w:hAnsiTheme="minorHAnsi" w:cstheme="minorHAnsi"/>
          <w:bCs w:val="0"/>
          <w:i w:val="0"/>
          <w:noProof/>
          <w:szCs w:val="22"/>
          <w:lang w:eastAsia="it-IT"/>
        </w:rPr>
        <w:t xml:space="preserve"> -</w:t>
      </w:r>
      <w:r w:rsidRPr="008A6512">
        <w:rPr>
          <w:rFonts w:asciiTheme="minorHAnsi" w:eastAsia="Times New Roman" w:hAnsiTheme="minorHAnsi" w:cstheme="minorHAnsi"/>
          <w:bCs w:val="0"/>
          <w:i w:val="0"/>
          <w:noProof/>
          <w:szCs w:val="22"/>
          <w:lang w:eastAsia="it-IT"/>
        </w:rPr>
        <w:t xml:space="preserve"> Organico del personale amministrativo</w:t>
      </w:r>
      <w:bookmarkEnd w:id="12"/>
    </w:p>
    <w:tbl>
      <w:tblPr>
        <w:tblStyle w:val="LightGrid-Accent11"/>
        <w:tblW w:w="9242" w:type="dxa"/>
        <w:jc w:val="center"/>
        <w:tblLook w:val="04A0" w:firstRow="1" w:lastRow="0" w:firstColumn="1" w:lastColumn="0" w:noHBand="0" w:noVBand="1"/>
      </w:tblPr>
      <w:tblGrid>
        <w:gridCol w:w="3118"/>
        <w:gridCol w:w="1531"/>
        <w:gridCol w:w="1531"/>
        <w:gridCol w:w="1531"/>
        <w:gridCol w:w="1531"/>
      </w:tblGrid>
      <w:tr w:rsidR="00A01B07" w:rsidRPr="00CF17C5" w:rsidTr="00A01B07">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rsidR="00A01B07" w:rsidRPr="00CF17C5" w:rsidRDefault="00A01B07" w:rsidP="00F25107">
            <w:pPr>
              <w:spacing w:after="0"/>
              <w:jc w:val="center"/>
              <w:rPr>
                <w:rFonts w:asciiTheme="minorHAnsi" w:eastAsia="Times New Roman" w:hAnsiTheme="minorHAnsi" w:cstheme="minorHAnsi"/>
                <w:i/>
                <w:iCs/>
                <w:color w:val="000000"/>
                <w:sz w:val="22"/>
              </w:rPr>
            </w:pPr>
            <w:r w:rsidRPr="00CF17C5">
              <w:rPr>
                <w:rFonts w:asciiTheme="minorHAnsi" w:eastAsia="Times New Roman" w:hAnsiTheme="minorHAnsi" w:cstheme="minorHAnsi"/>
                <w:i/>
                <w:iCs/>
                <w:color w:val="000000"/>
                <w:sz w:val="22"/>
              </w:rPr>
              <w:t>Funzione</w:t>
            </w:r>
          </w:p>
        </w:tc>
        <w:tc>
          <w:tcPr>
            <w:tcW w:w="1531" w:type="dxa"/>
            <w:noWrap/>
            <w:vAlign w:val="center"/>
            <w:hideMark/>
          </w:tcPr>
          <w:p w:rsidR="00A01B07" w:rsidRPr="00CF17C5" w:rsidRDefault="00A01B07" w:rsidP="00F2510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rPr>
            </w:pPr>
            <w:r w:rsidRPr="00CF17C5">
              <w:rPr>
                <w:rFonts w:asciiTheme="minorHAnsi" w:eastAsia="Times New Roman" w:hAnsiTheme="minorHAnsi" w:cstheme="minorHAnsi"/>
                <w:i/>
                <w:iCs/>
                <w:color w:val="000000"/>
                <w:sz w:val="22"/>
              </w:rPr>
              <w:t>Organico</w:t>
            </w:r>
          </w:p>
        </w:tc>
        <w:tc>
          <w:tcPr>
            <w:tcW w:w="1531" w:type="dxa"/>
            <w:noWrap/>
            <w:vAlign w:val="center"/>
            <w:hideMark/>
          </w:tcPr>
          <w:p w:rsidR="00A01B07" w:rsidRPr="00CF17C5" w:rsidRDefault="00A01B07" w:rsidP="00F2510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rPr>
            </w:pPr>
            <w:r w:rsidRPr="00CF17C5">
              <w:rPr>
                <w:rFonts w:asciiTheme="minorHAnsi" w:eastAsia="Times New Roman" w:hAnsiTheme="minorHAnsi" w:cstheme="minorHAnsi"/>
                <w:i/>
                <w:iCs/>
                <w:color w:val="000000"/>
                <w:sz w:val="22"/>
              </w:rPr>
              <w:t>In servizio</w:t>
            </w:r>
          </w:p>
        </w:tc>
        <w:tc>
          <w:tcPr>
            <w:tcW w:w="1531" w:type="dxa"/>
            <w:vAlign w:val="center"/>
          </w:tcPr>
          <w:p w:rsidR="00A01B07" w:rsidRPr="00CF17C5" w:rsidRDefault="00A01B07" w:rsidP="00F2510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rPr>
            </w:pPr>
            <w:r w:rsidRPr="00CF17C5">
              <w:rPr>
                <w:rFonts w:asciiTheme="minorHAnsi" w:hAnsiTheme="minorHAnsi" w:cstheme="minorHAnsi"/>
                <w:i/>
                <w:iCs/>
                <w:color w:val="000000"/>
                <w:sz w:val="22"/>
              </w:rPr>
              <w:t>Vacanti</w:t>
            </w:r>
          </w:p>
        </w:tc>
        <w:tc>
          <w:tcPr>
            <w:tcW w:w="1531" w:type="dxa"/>
            <w:vAlign w:val="center"/>
          </w:tcPr>
          <w:p w:rsidR="00A01B07" w:rsidRPr="00CF17C5" w:rsidRDefault="00A01B07" w:rsidP="00F2510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rPr>
            </w:pPr>
            <w:r w:rsidRPr="00CF17C5">
              <w:rPr>
                <w:rFonts w:asciiTheme="minorHAnsi" w:eastAsia="Times New Roman" w:hAnsiTheme="minorHAnsi" w:cstheme="minorHAnsi"/>
                <w:i/>
                <w:iCs/>
                <w:color w:val="000000"/>
                <w:sz w:val="22"/>
              </w:rPr>
              <w:t>% scopertura</w:t>
            </w:r>
          </w:p>
        </w:tc>
      </w:tr>
      <w:tr w:rsidR="00A01B07" w:rsidRPr="00CF17C5" w:rsidTr="00A01B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rsidR="00A01B07" w:rsidRPr="00CF17C5" w:rsidRDefault="00A01B07" w:rsidP="00F25107">
            <w:pPr>
              <w:spacing w:after="0"/>
              <w:rPr>
                <w:rFonts w:asciiTheme="minorHAnsi" w:eastAsia="Times New Roman" w:hAnsiTheme="minorHAnsi" w:cstheme="minorHAnsi"/>
                <w:b w:val="0"/>
                <w:color w:val="000000"/>
                <w:sz w:val="22"/>
              </w:rPr>
            </w:pPr>
            <w:r w:rsidRPr="00CF17C5">
              <w:rPr>
                <w:rFonts w:asciiTheme="minorHAnsi" w:eastAsia="Times New Roman" w:hAnsiTheme="minorHAnsi" w:cstheme="minorHAnsi"/>
                <w:b w:val="0"/>
                <w:color w:val="000000"/>
                <w:sz w:val="22"/>
              </w:rPr>
              <w:t>Dirigente</w:t>
            </w:r>
          </w:p>
        </w:tc>
        <w:tc>
          <w:tcPr>
            <w:tcW w:w="1531" w:type="dxa"/>
            <w:noWrap/>
            <w:vAlign w:val="center"/>
            <w:hideMark/>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tcW w:w="1531" w:type="dxa"/>
            <w:noWrap/>
            <w:vAlign w:val="center"/>
            <w:hideMark/>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tcW w:w="1531" w:type="dxa"/>
            <w:vAlign w:val="center"/>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tcW w:w="1531" w:type="dxa"/>
            <w:vAlign w:val="center"/>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w:t>
            </w:r>
          </w:p>
        </w:tc>
      </w:tr>
      <w:tr w:rsidR="00A01B07" w:rsidRPr="00CF17C5" w:rsidTr="00A01B07">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rsidR="00A01B07" w:rsidRPr="00CF17C5" w:rsidRDefault="00A01B07" w:rsidP="00F25107">
            <w:pPr>
              <w:spacing w:after="0"/>
              <w:rPr>
                <w:rFonts w:asciiTheme="minorHAnsi" w:eastAsia="Times New Roman" w:hAnsiTheme="minorHAnsi" w:cstheme="minorHAnsi"/>
                <w:b w:val="0"/>
                <w:color w:val="000000"/>
                <w:sz w:val="22"/>
              </w:rPr>
            </w:pPr>
            <w:r w:rsidRPr="00CF17C5">
              <w:rPr>
                <w:rFonts w:asciiTheme="minorHAnsi" w:eastAsia="Times New Roman" w:hAnsiTheme="minorHAnsi" w:cstheme="minorHAnsi"/>
                <w:b w:val="0"/>
                <w:color w:val="000000"/>
                <w:sz w:val="22"/>
              </w:rPr>
              <w:t>Direttore amministrativo</w:t>
            </w:r>
          </w:p>
        </w:tc>
        <w:tc>
          <w:tcPr>
            <w:tcW w:w="1531" w:type="dxa"/>
            <w:noWrap/>
            <w:vAlign w:val="center"/>
            <w:hideMark/>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c>
          <w:tcPr>
            <w:tcW w:w="1531" w:type="dxa"/>
            <w:noWrap/>
            <w:vAlign w:val="center"/>
            <w:hideMark/>
          </w:tcPr>
          <w:p w:rsidR="00A01B07" w:rsidRPr="00CF17C5" w:rsidRDefault="00A01B07" w:rsidP="00F2510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c>
          <w:tcPr>
            <w:tcW w:w="1531" w:type="dxa"/>
            <w:vAlign w:val="center"/>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c>
          <w:tcPr>
            <w:tcW w:w="1531" w:type="dxa"/>
            <w:vAlign w:val="center"/>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w:t>
            </w:r>
          </w:p>
        </w:tc>
      </w:tr>
      <w:tr w:rsidR="00A01B07" w:rsidRPr="00CF17C5" w:rsidTr="00A01B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rsidR="00A01B07" w:rsidRPr="00CF17C5" w:rsidRDefault="00A01B07" w:rsidP="00F25107">
            <w:pPr>
              <w:spacing w:after="0"/>
              <w:rPr>
                <w:rFonts w:asciiTheme="minorHAnsi" w:hAnsiTheme="minorHAnsi" w:cstheme="minorHAnsi"/>
                <w:b w:val="0"/>
                <w:color w:val="000000"/>
                <w:sz w:val="22"/>
              </w:rPr>
            </w:pPr>
            <w:r w:rsidRPr="00CF17C5">
              <w:rPr>
                <w:rFonts w:asciiTheme="minorHAnsi" w:hAnsiTheme="minorHAnsi" w:cstheme="minorHAnsi"/>
                <w:b w:val="0"/>
                <w:color w:val="000000"/>
                <w:sz w:val="22"/>
              </w:rPr>
              <w:t>Funzionario giudiziario</w:t>
            </w:r>
          </w:p>
        </w:tc>
        <w:tc>
          <w:tcPr>
            <w:tcW w:w="1531" w:type="dxa"/>
            <w:noWrap/>
            <w:vAlign w:val="center"/>
            <w:hideMark/>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1</w:t>
            </w:r>
          </w:p>
        </w:tc>
        <w:tc>
          <w:tcPr>
            <w:tcW w:w="1531" w:type="dxa"/>
            <w:noWrap/>
            <w:vAlign w:val="center"/>
            <w:hideMark/>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0</w:t>
            </w:r>
          </w:p>
        </w:tc>
        <w:tc>
          <w:tcPr>
            <w:tcW w:w="1531" w:type="dxa"/>
            <w:vAlign w:val="center"/>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1</w:t>
            </w:r>
          </w:p>
        </w:tc>
        <w:tc>
          <w:tcPr>
            <w:tcW w:w="1531" w:type="dxa"/>
            <w:vAlign w:val="center"/>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100%</w:t>
            </w:r>
          </w:p>
        </w:tc>
      </w:tr>
      <w:tr w:rsidR="00A01B07" w:rsidRPr="00CF17C5" w:rsidTr="00A01B07">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rsidR="00A01B07" w:rsidRPr="00CF17C5" w:rsidRDefault="00A01B07" w:rsidP="00F25107">
            <w:pPr>
              <w:spacing w:after="0"/>
              <w:rPr>
                <w:rFonts w:asciiTheme="minorHAnsi" w:hAnsiTheme="minorHAnsi" w:cstheme="minorHAnsi"/>
                <w:b w:val="0"/>
                <w:color w:val="000000"/>
                <w:sz w:val="22"/>
              </w:rPr>
            </w:pPr>
            <w:r w:rsidRPr="00CF17C5">
              <w:rPr>
                <w:rFonts w:asciiTheme="minorHAnsi" w:hAnsiTheme="minorHAnsi" w:cstheme="minorHAnsi"/>
                <w:b w:val="0"/>
                <w:color w:val="000000"/>
                <w:sz w:val="22"/>
              </w:rPr>
              <w:t>Cancelliere</w:t>
            </w:r>
          </w:p>
        </w:tc>
        <w:tc>
          <w:tcPr>
            <w:tcW w:w="1531" w:type="dxa"/>
            <w:noWrap/>
            <w:vAlign w:val="center"/>
            <w:hideMark/>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2</w:t>
            </w:r>
          </w:p>
        </w:tc>
        <w:tc>
          <w:tcPr>
            <w:tcW w:w="1531" w:type="dxa"/>
            <w:noWrap/>
            <w:vAlign w:val="center"/>
            <w:hideMark/>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1</w:t>
            </w:r>
          </w:p>
        </w:tc>
        <w:tc>
          <w:tcPr>
            <w:tcW w:w="1531" w:type="dxa"/>
            <w:vAlign w:val="center"/>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1</w:t>
            </w:r>
          </w:p>
        </w:tc>
        <w:tc>
          <w:tcPr>
            <w:tcW w:w="1531" w:type="dxa"/>
            <w:vAlign w:val="center"/>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50%</w:t>
            </w:r>
          </w:p>
        </w:tc>
      </w:tr>
      <w:tr w:rsidR="00A01B07" w:rsidRPr="00CF17C5" w:rsidTr="00A01B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rsidR="00A01B07" w:rsidRPr="00CF17C5" w:rsidRDefault="00A01B07" w:rsidP="00F25107">
            <w:pPr>
              <w:spacing w:after="0"/>
              <w:rPr>
                <w:rFonts w:asciiTheme="minorHAnsi" w:hAnsiTheme="minorHAnsi" w:cstheme="minorHAnsi"/>
                <w:b w:val="0"/>
                <w:color w:val="000000"/>
                <w:sz w:val="22"/>
              </w:rPr>
            </w:pPr>
            <w:r w:rsidRPr="00CF17C5">
              <w:rPr>
                <w:rFonts w:asciiTheme="minorHAnsi" w:hAnsiTheme="minorHAnsi" w:cstheme="minorHAnsi"/>
                <w:b w:val="0"/>
                <w:color w:val="000000"/>
                <w:sz w:val="22"/>
              </w:rPr>
              <w:t>Assistente giudiziario</w:t>
            </w:r>
          </w:p>
        </w:tc>
        <w:tc>
          <w:tcPr>
            <w:tcW w:w="1531" w:type="dxa"/>
            <w:noWrap/>
            <w:vAlign w:val="center"/>
            <w:hideMark/>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3</w:t>
            </w:r>
          </w:p>
        </w:tc>
        <w:tc>
          <w:tcPr>
            <w:tcW w:w="1531" w:type="dxa"/>
            <w:noWrap/>
            <w:vAlign w:val="center"/>
            <w:hideMark/>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3</w:t>
            </w:r>
          </w:p>
        </w:tc>
        <w:tc>
          <w:tcPr>
            <w:tcW w:w="1531" w:type="dxa"/>
            <w:vAlign w:val="center"/>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tcW w:w="1531" w:type="dxa"/>
            <w:vAlign w:val="center"/>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w:t>
            </w:r>
          </w:p>
        </w:tc>
      </w:tr>
      <w:tr w:rsidR="00A01B07" w:rsidRPr="00CF17C5" w:rsidTr="00A01B07">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rsidR="00A01B07" w:rsidRPr="00CF17C5" w:rsidRDefault="00A01B07" w:rsidP="00F25107">
            <w:pPr>
              <w:spacing w:after="0"/>
              <w:rPr>
                <w:rFonts w:asciiTheme="minorHAnsi" w:hAnsiTheme="minorHAnsi" w:cstheme="minorHAnsi"/>
                <w:b w:val="0"/>
                <w:color w:val="000000"/>
                <w:sz w:val="22"/>
              </w:rPr>
            </w:pPr>
            <w:r w:rsidRPr="00CF17C5">
              <w:rPr>
                <w:rFonts w:asciiTheme="minorHAnsi" w:hAnsiTheme="minorHAnsi" w:cstheme="minorHAnsi"/>
                <w:b w:val="0"/>
                <w:color w:val="000000"/>
                <w:sz w:val="22"/>
              </w:rPr>
              <w:t>Operatore giudiziario</w:t>
            </w:r>
          </w:p>
        </w:tc>
        <w:tc>
          <w:tcPr>
            <w:tcW w:w="1531" w:type="dxa"/>
            <w:noWrap/>
            <w:vAlign w:val="center"/>
            <w:hideMark/>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2</w:t>
            </w:r>
          </w:p>
        </w:tc>
        <w:tc>
          <w:tcPr>
            <w:tcW w:w="1531" w:type="dxa"/>
            <w:noWrap/>
            <w:vAlign w:val="center"/>
            <w:hideMark/>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2</w:t>
            </w:r>
          </w:p>
        </w:tc>
        <w:tc>
          <w:tcPr>
            <w:tcW w:w="1531" w:type="dxa"/>
            <w:vAlign w:val="center"/>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c>
          <w:tcPr>
            <w:tcW w:w="1531" w:type="dxa"/>
            <w:vAlign w:val="center"/>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r>
      <w:tr w:rsidR="00A01B07" w:rsidRPr="00CF17C5" w:rsidTr="00A01B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rsidR="00A01B07" w:rsidRPr="00CF17C5" w:rsidRDefault="00A01B07" w:rsidP="00F25107">
            <w:pPr>
              <w:spacing w:after="0"/>
              <w:rPr>
                <w:rFonts w:asciiTheme="minorHAnsi" w:hAnsiTheme="minorHAnsi" w:cstheme="minorHAnsi"/>
                <w:b w:val="0"/>
                <w:color w:val="000000"/>
                <w:sz w:val="22"/>
              </w:rPr>
            </w:pPr>
            <w:r w:rsidRPr="00CF17C5">
              <w:rPr>
                <w:rFonts w:asciiTheme="minorHAnsi" w:hAnsiTheme="minorHAnsi" w:cstheme="minorHAnsi"/>
                <w:b w:val="0"/>
                <w:color w:val="000000"/>
                <w:sz w:val="22"/>
              </w:rPr>
              <w:t>Ausiliario</w:t>
            </w:r>
          </w:p>
        </w:tc>
        <w:tc>
          <w:tcPr>
            <w:tcW w:w="1531" w:type="dxa"/>
            <w:noWrap/>
            <w:vAlign w:val="center"/>
            <w:hideMark/>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2</w:t>
            </w:r>
          </w:p>
        </w:tc>
        <w:tc>
          <w:tcPr>
            <w:tcW w:w="1531" w:type="dxa"/>
            <w:noWrap/>
            <w:vAlign w:val="center"/>
            <w:hideMark/>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2</w:t>
            </w:r>
          </w:p>
        </w:tc>
        <w:tc>
          <w:tcPr>
            <w:tcW w:w="1531" w:type="dxa"/>
            <w:vAlign w:val="center"/>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tcW w:w="1531" w:type="dxa"/>
            <w:vAlign w:val="center"/>
          </w:tcPr>
          <w:p w:rsidR="00A01B07" w:rsidRPr="00CF17C5" w:rsidRDefault="00A01B07" w:rsidP="00F251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CF17C5">
              <w:rPr>
                <w:rFonts w:asciiTheme="minorHAnsi" w:hAnsiTheme="minorHAnsi" w:cstheme="minorHAnsi"/>
                <w:color w:val="000000"/>
                <w:sz w:val="22"/>
              </w:rPr>
              <w:t>-</w:t>
            </w:r>
          </w:p>
        </w:tc>
      </w:tr>
      <w:tr w:rsidR="00A01B07" w:rsidRPr="00CF17C5" w:rsidTr="00A01B07">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rsidR="00A01B07" w:rsidRPr="00CF17C5" w:rsidRDefault="00A01B07" w:rsidP="00F25107">
            <w:pPr>
              <w:spacing w:after="0"/>
              <w:rPr>
                <w:rFonts w:asciiTheme="minorHAnsi" w:eastAsia="Times New Roman" w:hAnsiTheme="minorHAnsi" w:cstheme="minorHAnsi"/>
                <w:color w:val="000000"/>
                <w:sz w:val="22"/>
              </w:rPr>
            </w:pPr>
            <w:r w:rsidRPr="00CF17C5">
              <w:rPr>
                <w:rFonts w:asciiTheme="minorHAnsi" w:eastAsia="Times New Roman" w:hAnsiTheme="minorHAnsi" w:cstheme="minorHAnsi"/>
                <w:color w:val="000000"/>
                <w:sz w:val="22"/>
              </w:rPr>
              <w:t>Totale p.a.</w:t>
            </w:r>
          </w:p>
        </w:tc>
        <w:tc>
          <w:tcPr>
            <w:tcW w:w="1531" w:type="dxa"/>
            <w:noWrap/>
            <w:vAlign w:val="center"/>
            <w:hideMark/>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rPr>
            </w:pPr>
            <w:r w:rsidRPr="00CF17C5">
              <w:rPr>
                <w:rFonts w:asciiTheme="minorHAnsi" w:hAnsiTheme="minorHAnsi" w:cstheme="minorHAnsi"/>
                <w:b/>
                <w:color w:val="000000"/>
                <w:sz w:val="22"/>
              </w:rPr>
              <w:t>10</w:t>
            </w:r>
          </w:p>
        </w:tc>
        <w:tc>
          <w:tcPr>
            <w:tcW w:w="1531" w:type="dxa"/>
            <w:noWrap/>
            <w:vAlign w:val="center"/>
            <w:hideMark/>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rPr>
            </w:pPr>
            <w:r w:rsidRPr="00CF17C5">
              <w:rPr>
                <w:rFonts w:asciiTheme="minorHAnsi" w:hAnsiTheme="minorHAnsi" w:cstheme="minorHAnsi"/>
                <w:b/>
                <w:color w:val="000000"/>
                <w:sz w:val="22"/>
              </w:rPr>
              <w:t>8</w:t>
            </w:r>
          </w:p>
        </w:tc>
        <w:tc>
          <w:tcPr>
            <w:tcW w:w="1531" w:type="dxa"/>
            <w:vAlign w:val="center"/>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rPr>
            </w:pPr>
            <w:r>
              <w:rPr>
                <w:rFonts w:asciiTheme="minorHAnsi" w:hAnsiTheme="minorHAnsi" w:cstheme="minorHAnsi"/>
                <w:b/>
                <w:color w:val="000000"/>
                <w:sz w:val="22"/>
              </w:rPr>
              <w:t>2</w:t>
            </w:r>
          </w:p>
        </w:tc>
        <w:tc>
          <w:tcPr>
            <w:tcW w:w="1531" w:type="dxa"/>
            <w:vAlign w:val="center"/>
          </w:tcPr>
          <w:p w:rsidR="00A01B07" w:rsidRPr="00CF17C5" w:rsidRDefault="00A01B07" w:rsidP="00F2510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rPr>
            </w:pPr>
            <w:r w:rsidRPr="00CF17C5">
              <w:rPr>
                <w:rFonts w:asciiTheme="minorHAnsi" w:hAnsiTheme="minorHAnsi" w:cstheme="minorHAnsi"/>
                <w:b/>
                <w:color w:val="000000"/>
                <w:sz w:val="22"/>
              </w:rPr>
              <w:t>20%</w:t>
            </w:r>
          </w:p>
        </w:tc>
      </w:tr>
    </w:tbl>
    <w:p w:rsidR="009A0C7C" w:rsidRPr="007E6CBE" w:rsidRDefault="009A0C7C" w:rsidP="00F25107">
      <w:pPr>
        <w:spacing w:after="0" w:line="360" w:lineRule="auto"/>
        <w:jc w:val="center"/>
        <w:rPr>
          <w:rFonts w:ascii="Arial" w:hAnsi="Arial" w:cs="Arial"/>
          <w:i/>
          <w:sz w:val="18"/>
          <w:szCs w:val="24"/>
        </w:rPr>
      </w:pPr>
      <w:r w:rsidRPr="007E6CBE">
        <w:rPr>
          <w:rFonts w:ascii="Arial" w:hAnsi="Arial" w:cs="Arial"/>
          <w:i/>
          <w:sz w:val="18"/>
          <w:szCs w:val="24"/>
        </w:rPr>
        <w:t>Fonte: Dirigenza dell’Ufficio</w:t>
      </w:r>
    </w:p>
    <w:p w:rsidR="009A0C7C" w:rsidRPr="003A1DF4" w:rsidRDefault="009A0C7C" w:rsidP="003A1DF4">
      <w:pPr>
        <w:spacing w:before="240" w:after="120" w:line="360" w:lineRule="auto"/>
        <w:rPr>
          <w:rFonts w:asciiTheme="minorHAnsi" w:hAnsiTheme="minorHAnsi" w:cstheme="minorHAnsi"/>
          <w:szCs w:val="24"/>
        </w:rPr>
      </w:pPr>
      <w:r w:rsidRPr="003A1DF4">
        <w:rPr>
          <w:rFonts w:asciiTheme="minorHAnsi" w:hAnsiTheme="minorHAnsi" w:cstheme="minorHAnsi"/>
          <w:szCs w:val="24"/>
        </w:rPr>
        <w:t xml:space="preserve">L’attività di coordinamento della cancelleria viene svolta dal Cancelliere, responsabile delle cancellerie civili e penali, nonché delle attività amministrative interne dell’Ufficio (vedi </w:t>
      </w:r>
      <w:r w:rsidR="00E90BB7">
        <w:fldChar w:fldCharType="begin"/>
      </w:r>
      <w:r w:rsidR="00E90BB7">
        <w:instrText xml:space="preserve"> REF _Ref328066652 \h  \* MERGEFORMAT </w:instrText>
      </w:r>
      <w:r w:rsidR="00E90BB7">
        <w:fldChar w:fldCharType="separate"/>
      </w:r>
      <w:r w:rsidR="00BC4790" w:rsidRPr="00BC4790">
        <w:rPr>
          <w:rFonts w:asciiTheme="minorHAnsi" w:hAnsiTheme="minorHAnsi" w:cstheme="minorHAnsi"/>
        </w:rPr>
        <w:t>Figura 3</w:t>
      </w:r>
      <w:r w:rsidR="00E90BB7">
        <w:fldChar w:fldCharType="end"/>
      </w:r>
      <w:r w:rsidRPr="003A1DF4">
        <w:rPr>
          <w:rFonts w:asciiTheme="minorHAnsi" w:hAnsiTheme="minorHAnsi" w:cstheme="minorHAnsi"/>
          <w:szCs w:val="24"/>
        </w:rPr>
        <w:t>).</w:t>
      </w:r>
    </w:p>
    <w:p w:rsidR="009A0C7C" w:rsidRPr="003A1DF4" w:rsidRDefault="009A0C7C" w:rsidP="009A0C7C">
      <w:pPr>
        <w:spacing w:after="120" w:line="360" w:lineRule="auto"/>
        <w:rPr>
          <w:rFonts w:asciiTheme="minorHAnsi" w:hAnsiTheme="minorHAnsi" w:cstheme="minorHAnsi"/>
          <w:szCs w:val="24"/>
        </w:rPr>
      </w:pPr>
      <w:r w:rsidRPr="003A1DF4">
        <w:rPr>
          <w:rFonts w:asciiTheme="minorHAnsi" w:hAnsiTheme="minorHAnsi" w:cstheme="minorHAnsi"/>
          <w:szCs w:val="24"/>
        </w:rPr>
        <w:t xml:space="preserve">La </w:t>
      </w:r>
      <w:r w:rsidRPr="003A1DF4">
        <w:rPr>
          <w:rFonts w:asciiTheme="minorHAnsi" w:hAnsiTheme="minorHAnsi" w:cstheme="minorHAnsi"/>
          <w:b/>
          <w:szCs w:val="24"/>
        </w:rPr>
        <w:t>cancelleria civile</w:t>
      </w:r>
      <w:r w:rsidR="00917645">
        <w:rPr>
          <w:rFonts w:asciiTheme="minorHAnsi" w:hAnsiTheme="minorHAnsi" w:cstheme="minorHAnsi"/>
          <w:szCs w:val="24"/>
        </w:rPr>
        <w:t xml:space="preserve"> è composta da 4</w:t>
      </w:r>
      <w:r w:rsidRPr="003A1DF4">
        <w:rPr>
          <w:rFonts w:asciiTheme="minorHAnsi" w:hAnsiTheme="minorHAnsi" w:cstheme="minorHAnsi"/>
          <w:szCs w:val="24"/>
        </w:rPr>
        <w:t xml:space="preserve"> unità, 2 assistenti giudiziari </w:t>
      </w:r>
      <w:r w:rsidR="00C05496" w:rsidRPr="003A1DF4">
        <w:rPr>
          <w:rFonts w:asciiTheme="minorHAnsi" w:hAnsiTheme="minorHAnsi" w:cstheme="minorHAnsi"/>
          <w:szCs w:val="24"/>
        </w:rPr>
        <w:t xml:space="preserve">e </w:t>
      </w:r>
      <w:r w:rsidR="005E5C4C">
        <w:rPr>
          <w:rFonts w:asciiTheme="minorHAnsi" w:hAnsiTheme="minorHAnsi" w:cstheme="minorHAnsi"/>
          <w:szCs w:val="24"/>
        </w:rPr>
        <w:t>2</w:t>
      </w:r>
      <w:r w:rsidR="00C05496" w:rsidRPr="003A1DF4">
        <w:rPr>
          <w:rFonts w:asciiTheme="minorHAnsi" w:hAnsiTheme="minorHAnsi" w:cstheme="minorHAnsi"/>
          <w:szCs w:val="24"/>
        </w:rPr>
        <w:t xml:space="preserve"> </w:t>
      </w:r>
      <w:r w:rsidRPr="003A1DF4">
        <w:rPr>
          <w:rFonts w:asciiTheme="minorHAnsi" w:hAnsiTheme="minorHAnsi" w:cstheme="minorHAnsi"/>
          <w:szCs w:val="24"/>
        </w:rPr>
        <w:t>operator</w:t>
      </w:r>
      <w:r w:rsidR="005E5C4C">
        <w:rPr>
          <w:rFonts w:asciiTheme="minorHAnsi" w:hAnsiTheme="minorHAnsi" w:cstheme="minorHAnsi"/>
          <w:szCs w:val="24"/>
        </w:rPr>
        <w:t>i giudiziari</w:t>
      </w:r>
      <w:r w:rsidRPr="003A1DF4">
        <w:rPr>
          <w:rFonts w:asciiTheme="minorHAnsi" w:hAnsiTheme="minorHAnsi" w:cstheme="minorHAnsi"/>
          <w:szCs w:val="24"/>
        </w:rPr>
        <w:t>, ed è competente per le materie di tipo civile e amministrativo</w:t>
      </w:r>
      <w:r w:rsidR="00021A6E">
        <w:rPr>
          <w:rFonts w:asciiTheme="minorHAnsi" w:hAnsiTheme="minorHAnsi" w:cstheme="minorHAnsi"/>
          <w:szCs w:val="24"/>
        </w:rPr>
        <w:t>.</w:t>
      </w:r>
      <w:r w:rsidRPr="003A1DF4">
        <w:rPr>
          <w:rFonts w:asciiTheme="minorHAnsi" w:hAnsiTheme="minorHAnsi" w:cstheme="minorHAnsi"/>
          <w:szCs w:val="24"/>
        </w:rPr>
        <w:t xml:space="preserve"> </w:t>
      </w:r>
    </w:p>
    <w:p w:rsidR="009A0C7C" w:rsidRPr="009552E3" w:rsidRDefault="009A0C7C" w:rsidP="009A0C7C">
      <w:pPr>
        <w:spacing w:after="120" w:line="360" w:lineRule="auto"/>
        <w:rPr>
          <w:rFonts w:asciiTheme="minorHAnsi" w:hAnsiTheme="minorHAnsi" w:cstheme="minorHAnsi"/>
          <w:szCs w:val="24"/>
        </w:rPr>
      </w:pPr>
      <w:r w:rsidRPr="009552E3">
        <w:rPr>
          <w:rFonts w:asciiTheme="minorHAnsi" w:hAnsiTheme="minorHAnsi" w:cstheme="minorHAnsi"/>
          <w:szCs w:val="24"/>
        </w:rPr>
        <w:t xml:space="preserve">La </w:t>
      </w:r>
      <w:r w:rsidRPr="009552E3">
        <w:rPr>
          <w:rFonts w:asciiTheme="minorHAnsi" w:hAnsiTheme="minorHAnsi" w:cstheme="minorHAnsi"/>
          <w:b/>
          <w:szCs w:val="24"/>
        </w:rPr>
        <w:t>cancelleria penale</w:t>
      </w:r>
      <w:r w:rsidRPr="009552E3">
        <w:rPr>
          <w:rFonts w:asciiTheme="minorHAnsi" w:hAnsiTheme="minorHAnsi" w:cstheme="minorHAnsi"/>
          <w:szCs w:val="24"/>
        </w:rPr>
        <w:t xml:space="preserve"> è composta dal Cancelliere insieme ad un assistente giudiziario ed è competente per le materie di tipo penale, che non rientrano ovviamente tra le responsabilità del Tribunale Ordinario. </w:t>
      </w:r>
    </w:p>
    <w:p w:rsidR="009A0C7C" w:rsidRPr="009552E3" w:rsidRDefault="009A0C7C" w:rsidP="009A0C7C">
      <w:pPr>
        <w:spacing w:after="120" w:line="360" w:lineRule="auto"/>
        <w:rPr>
          <w:rFonts w:asciiTheme="minorHAnsi" w:hAnsiTheme="minorHAnsi" w:cstheme="minorHAnsi"/>
          <w:szCs w:val="24"/>
        </w:rPr>
      </w:pPr>
      <w:r w:rsidRPr="009552E3">
        <w:rPr>
          <w:rFonts w:asciiTheme="minorHAnsi" w:hAnsiTheme="minorHAnsi" w:cstheme="minorHAnsi"/>
          <w:szCs w:val="24"/>
        </w:rPr>
        <w:t>Le attività appartenenti all’</w:t>
      </w:r>
      <w:r w:rsidRPr="009552E3">
        <w:rPr>
          <w:rFonts w:asciiTheme="minorHAnsi" w:hAnsiTheme="minorHAnsi" w:cstheme="minorHAnsi"/>
          <w:b/>
          <w:szCs w:val="24"/>
        </w:rPr>
        <w:t>area amministrativa</w:t>
      </w:r>
      <w:r w:rsidRPr="009552E3">
        <w:rPr>
          <w:rFonts w:asciiTheme="minorHAnsi" w:hAnsiTheme="minorHAnsi" w:cstheme="minorHAnsi"/>
          <w:szCs w:val="24"/>
        </w:rPr>
        <w:t xml:space="preserve"> (gestione del personale, gestione delle spese di giustizia, </w:t>
      </w:r>
      <w:proofErr w:type="spellStart"/>
      <w:r w:rsidRPr="009552E3">
        <w:rPr>
          <w:rFonts w:asciiTheme="minorHAnsi" w:hAnsiTheme="minorHAnsi" w:cstheme="minorHAnsi"/>
          <w:szCs w:val="24"/>
        </w:rPr>
        <w:t>ecc</w:t>
      </w:r>
      <w:proofErr w:type="spellEnd"/>
      <w:r w:rsidRPr="009552E3">
        <w:rPr>
          <w:rFonts w:asciiTheme="minorHAnsi" w:hAnsiTheme="minorHAnsi" w:cstheme="minorHAnsi"/>
          <w:szCs w:val="24"/>
        </w:rPr>
        <w:t>) vengono svolte dal Cancelliere.</w:t>
      </w:r>
    </w:p>
    <w:p w:rsidR="009A0C7C" w:rsidRPr="009552E3" w:rsidRDefault="009A0C7C" w:rsidP="009A0C7C">
      <w:pPr>
        <w:spacing w:after="120" w:line="360" w:lineRule="auto"/>
        <w:rPr>
          <w:rFonts w:asciiTheme="minorHAnsi" w:hAnsiTheme="minorHAnsi" w:cstheme="minorHAnsi"/>
          <w:szCs w:val="24"/>
        </w:rPr>
      </w:pPr>
      <w:r w:rsidRPr="009552E3">
        <w:rPr>
          <w:rFonts w:asciiTheme="minorHAnsi" w:hAnsiTheme="minorHAnsi" w:cstheme="minorHAnsi"/>
          <w:szCs w:val="24"/>
        </w:rPr>
        <w:t>A supporto delle tre aree sopra identificate, vi sono due ausiliari che si occupano, in maniera trasversale, delle attività più operative.</w:t>
      </w:r>
    </w:p>
    <w:p w:rsidR="009552E3" w:rsidRPr="00CF17C5" w:rsidRDefault="009552E3" w:rsidP="009552E3">
      <w:pPr>
        <w:pStyle w:val="Caption"/>
        <w:spacing w:after="0" w:line="360" w:lineRule="auto"/>
        <w:rPr>
          <w:rFonts w:asciiTheme="minorHAnsi" w:eastAsia="Times New Roman" w:hAnsiTheme="minorHAnsi" w:cstheme="minorHAnsi"/>
          <w:bCs w:val="0"/>
          <w:i w:val="0"/>
          <w:noProof/>
          <w:szCs w:val="22"/>
          <w:lang w:eastAsia="it-IT"/>
        </w:rPr>
      </w:pPr>
      <w:bookmarkStart w:id="13" w:name="_Ref328066652"/>
      <w:bookmarkStart w:id="14" w:name="_Toc367703947"/>
      <w:r w:rsidRPr="00CF17C5">
        <w:rPr>
          <w:rFonts w:asciiTheme="minorHAnsi" w:eastAsia="Times New Roman" w:hAnsiTheme="minorHAnsi" w:cstheme="minorHAnsi"/>
          <w:bCs w:val="0"/>
          <w:i w:val="0"/>
          <w:noProof/>
          <w:szCs w:val="22"/>
          <w:lang w:eastAsia="it-IT"/>
        </w:rPr>
        <w:lastRenderedPageBreak/>
        <w:t xml:space="preserve">Figura </w:t>
      </w:r>
      <w:r w:rsidR="007C1E4D" w:rsidRPr="00CF17C5">
        <w:rPr>
          <w:rFonts w:asciiTheme="minorHAnsi" w:eastAsia="Times New Roman" w:hAnsiTheme="minorHAnsi" w:cstheme="minorHAnsi"/>
          <w:bCs w:val="0"/>
          <w:i w:val="0"/>
          <w:noProof/>
          <w:szCs w:val="22"/>
          <w:lang w:eastAsia="it-IT"/>
        </w:rPr>
        <w:fldChar w:fldCharType="begin"/>
      </w:r>
      <w:r w:rsidRPr="00CF17C5">
        <w:rPr>
          <w:rFonts w:asciiTheme="minorHAnsi" w:eastAsia="Times New Roman" w:hAnsiTheme="minorHAnsi" w:cstheme="minorHAnsi"/>
          <w:bCs w:val="0"/>
          <w:i w:val="0"/>
          <w:noProof/>
          <w:szCs w:val="22"/>
          <w:lang w:eastAsia="it-IT"/>
        </w:rPr>
        <w:instrText xml:space="preserve"> SEQ Figura \* ARABIC </w:instrText>
      </w:r>
      <w:r w:rsidR="007C1E4D" w:rsidRPr="00CF17C5">
        <w:rPr>
          <w:rFonts w:asciiTheme="minorHAnsi" w:eastAsia="Times New Roman" w:hAnsiTheme="minorHAnsi" w:cstheme="minorHAnsi"/>
          <w:bCs w:val="0"/>
          <w:i w:val="0"/>
          <w:noProof/>
          <w:szCs w:val="22"/>
          <w:lang w:eastAsia="it-IT"/>
        </w:rPr>
        <w:fldChar w:fldCharType="separate"/>
      </w:r>
      <w:r w:rsidR="00BC4790">
        <w:rPr>
          <w:rFonts w:asciiTheme="minorHAnsi" w:eastAsia="Times New Roman" w:hAnsiTheme="minorHAnsi" w:cstheme="minorHAnsi"/>
          <w:bCs w:val="0"/>
          <w:i w:val="0"/>
          <w:noProof/>
          <w:szCs w:val="22"/>
          <w:lang w:eastAsia="it-IT"/>
        </w:rPr>
        <w:t>3</w:t>
      </w:r>
      <w:r w:rsidR="007C1E4D" w:rsidRPr="00CF17C5">
        <w:rPr>
          <w:rFonts w:asciiTheme="minorHAnsi" w:eastAsia="Times New Roman" w:hAnsiTheme="minorHAnsi" w:cstheme="minorHAnsi"/>
          <w:bCs w:val="0"/>
          <w:i w:val="0"/>
          <w:noProof/>
          <w:szCs w:val="22"/>
          <w:lang w:eastAsia="it-IT"/>
        </w:rPr>
        <w:fldChar w:fldCharType="end"/>
      </w:r>
      <w:bookmarkEnd w:id="13"/>
      <w:r w:rsidRPr="00CF17C5">
        <w:rPr>
          <w:rFonts w:asciiTheme="minorHAnsi" w:eastAsia="Times New Roman" w:hAnsiTheme="minorHAnsi" w:cstheme="minorHAnsi"/>
          <w:bCs w:val="0"/>
          <w:i w:val="0"/>
          <w:noProof/>
          <w:szCs w:val="22"/>
          <w:lang w:eastAsia="it-IT"/>
        </w:rPr>
        <w:t xml:space="preserve"> - Struttura amministrativa</w:t>
      </w:r>
      <w:bookmarkEnd w:id="14"/>
    </w:p>
    <w:p w:rsidR="005E5C4C" w:rsidRDefault="005E5C4C" w:rsidP="009552E3">
      <w:pPr>
        <w:spacing w:after="120" w:line="360" w:lineRule="auto"/>
        <w:jc w:val="center"/>
        <w:rPr>
          <w:rFonts w:ascii="Arial" w:hAnsi="Arial" w:cs="Arial"/>
          <w:i/>
          <w:sz w:val="18"/>
          <w:szCs w:val="24"/>
        </w:rPr>
      </w:pPr>
      <w:r>
        <w:rPr>
          <w:rFonts w:ascii="Arial" w:hAnsi="Arial" w:cs="Arial"/>
          <w:i/>
          <w:noProof/>
          <w:sz w:val="18"/>
          <w:szCs w:val="24"/>
        </w:rPr>
        <w:drawing>
          <wp:inline distT="0" distB="0" distL="0" distR="0">
            <wp:extent cx="6029325" cy="3146636"/>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030161" cy="3147072"/>
                    </a:xfrm>
                    <a:prstGeom prst="rect">
                      <a:avLst/>
                    </a:prstGeom>
                    <a:noFill/>
                  </pic:spPr>
                </pic:pic>
              </a:graphicData>
            </a:graphic>
          </wp:inline>
        </w:drawing>
      </w:r>
    </w:p>
    <w:p w:rsidR="009A0C7C" w:rsidRPr="007E6CBE" w:rsidRDefault="009A0C7C" w:rsidP="009552E3">
      <w:pPr>
        <w:spacing w:after="120" w:line="360" w:lineRule="auto"/>
        <w:jc w:val="center"/>
        <w:rPr>
          <w:rFonts w:ascii="Arial" w:hAnsi="Arial" w:cs="Arial"/>
          <w:i/>
          <w:sz w:val="18"/>
          <w:szCs w:val="24"/>
        </w:rPr>
      </w:pPr>
      <w:r w:rsidRPr="007E6CBE">
        <w:rPr>
          <w:rFonts w:ascii="Arial" w:hAnsi="Arial" w:cs="Arial"/>
          <w:i/>
          <w:sz w:val="18"/>
          <w:szCs w:val="24"/>
        </w:rPr>
        <w:t xml:space="preserve">Fonte: </w:t>
      </w:r>
      <w:r>
        <w:rPr>
          <w:rFonts w:ascii="Arial" w:hAnsi="Arial" w:cs="Arial"/>
          <w:i/>
          <w:sz w:val="18"/>
          <w:szCs w:val="24"/>
        </w:rPr>
        <w:t>Dirigenza dell’Ufficio</w:t>
      </w:r>
    </w:p>
    <w:p w:rsidR="0055665D" w:rsidRDefault="0055665D" w:rsidP="009A0C7C">
      <w:pPr>
        <w:keepNext/>
        <w:spacing w:after="240"/>
        <w:rPr>
          <w:rFonts w:asciiTheme="minorHAnsi" w:hAnsiTheme="minorHAnsi" w:cstheme="minorHAnsi"/>
          <w:b/>
          <w:bCs/>
          <w:i/>
          <w:szCs w:val="24"/>
        </w:rPr>
      </w:pPr>
    </w:p>
    <w:p w:rsidR="009A0C7C" w:rsidRPr="009552E3" w:rsidRDefault="009A0C7C" w:rsidP="009A0C7C">
      <w:pPr>
        <w:keepNext/>
        <w:spacing w:after="240"/>
        <w:rPr>
          <w:rFonts w:asciiTheme="minorHAnsi" w:hAnsiTheme="minorHAnsi" w:cstheme="minorHAnsi"/>
          <w:b/>
          <w:bCs/>
          <w:i/>
          <w:szCs w:val="24"/>
        </w:rPr>
      </w:pPr>
      <w:r w:rsidRPr="009552E3">
        <w:rPr>
          <w:rFonts w:asciiTheme="minorHAnsi" w:hAnsiTheme="minorHAnsi" w:cstheme="minorHAnsi"/>
          <w:b/>
          <w:bCs/>
          <w:i/>
          <w:szCs w:val="24"/>
        </w:rPr>
        <w:t>Il Circondario di Vicenza</w:t>
      </w:r>
    </w:p>
    <w:p w:rsidR="009A0C7C" w:rsidRPr="00E867BA" w:rsidRDefault="009A0C7C" w:rsidP="009A0C7C">
      <w:pPr>
        <w:spacing w:line="360" w:lineRule="auto"/>
        <w:rPr>
          <w:rFonts w:ascii="Arial" w:hAnsi="Arial" w:cs="Arial"/>
          <w:szCs w:val="24"/>
        </w:rPr>
      </w:pPr>
      <w:r w:rsidRPr="009552E3">
        <w:rPr>
          <w:rFonts w:asciiTheme="minorHAnsi" w:hAnsiTheme="minorHAnsi" w:cstheme="minorHAnsi"/>
          <w:szCs w:val="24"/>
        </w:rPr>
        <w:t xml:space="preserve">Focalizzando l’attenzione sui Giudici di Pace facenti parte del Circondario di Vicenza, è possibile effettuare alcune valutazioni considerando i dati in </w:t>
      </w:r>
      <w:r w:rsidR="00E90BB7">
        <w:fldChar w:fldCharType="begin"/>
      </w:r>
      <w:r w:rsidR="00E90BB7">
        <w:instrText xml:space="preserve"> REF _Ref328729417 \h  \* MERGEFORMAT </w:instrText>
      </w:r>
      <w:r w:rsidR="00E90BB7">
        <w:fldChar w:fldCharType="separate"/>
      </w:r>
      <w:r w:rsidR="00BC4790" w:rsidRPr="00BC4790">
        <w:rPr>
          <w:rFonts w:asciiTheme="minorHAnsi" w:hAnsiTheme="minorHAnsi" w:cstheme="minorHAnsi"/>
          <w:szCs w:val="24"/>
        </w:rPr>
        <w:t>Tabella 3</w:t>
      </w:r>
      <w:r w:rsidR="00E90BB7">
        <w:fldChar w:fldCharType="end"/>
      </w:r>
      <w:r w:rsidRPr="009552E3">
        <w:rPr>
          <w:rFonts w:asciiTheme="minorHAnsi" w:hAnsiTheme="minorHAnsi" w:cstheme="minorHAnsi"/>
          <w:szCs w:val="24"/>
        </w:rPr>
        <w:t xml:space="preserve"> relativi al personale </w:t>
      </w:r>
      <w:r w:rsidR="00310A75">
        <w:rPr>
          <w:rFonts w:asciiTheme="minorHAnsi" w:hAnsiTheme="minorHAnsi" w:cstheme="minorHAnsi"/>
          <w:szCs w:val="24"/>
        </w:rPr>
        <w:t>giudicante</w:t>
      </w:r>
      <w:r w:rsidRPr="009552E3">
        <w:rPr>
          <w:rFonts w:asciiTheme="minorHAnsi" w:hAnsiTheme="minorHAnsi" w:cstheme="minorHAnsi"/>
          <w:szCs w:val="24"/>
        </w:rPr>
        <w:t xml:space="preserve"> e amministrativo</w:t>
      </w:r>
      <w:r w:rsidR="00C05496" w:rsidRPr="009552E3">
        <w:rPr>
          <w:rFonts w:asciiTheme="minorHAnsi" w:hAnsiTheme="minorHAnsi" w:cstheme="minorHAnsi"/>
          <w:szCs w:val="24"/>
        </w:rPr>
        <w:t xml:space="preserve"> effettivo</w:t>
      </w:r>
      <w:r w:rsidRPr="009552E3">
        <w:rPr>
          <w:rFonts w:asciiTheme="minorHAnsi" w:hAnsiTheme="minorHAnsi" w:cstheme="minorHAnsi"/>
          <w:szCs w:val="24"/>
        </w:rPr>
        <w:t xml:space="preserve"> e alla popolazione di competenza dell’Ufficio. </w:t>
      </w:r>
    </w:p>
    <w:p w:rsidR="009A0C7C" w:rsidRPr="00CF17C5" w:rsidRDefault="009A0C7C" w:rsidP="00CF17C5">
      <w:pPr>
        <w:pStyle w:val="Caption"/>
        <w:spacing w:after="0" w:line="360" w:lineRule="auto"/>
        <w:rPr>
          <w:rFonts w:asciiTheme="minorHAnsi" w:eastAsia="Times New Roman" w:hAnsiTheme="minorHAnsi" w:cstheme="minorHAnsi"/>
          <w:bCs w:val="0"/>
          <w:i w:val="0"/>
          <w:noProof/>
          <w:szCs w:val="22"/>
          <w:lang w:eastAsia="it-IT"/>
        </w:rPr>
      </w:pPr>
      <w:bookmarkStart w:id="15" w:name="_Ref328729417"/>
      <w:bookmarkStart w:id="16" w:name="_Toc367713307"/>
      <w:r w:rsidRPr="00CF17C5">
        <w:rPr>
          <w:rFonts w:asciiTheme="minorHAnsi" w:eastAsia="Times New Roman" w:hAnsiTheme="minorHAnsi" w:cstheme="minorHAnsi"/>
          <w:bCs w:val="0"/>
          <w:i w:val="0"/>
          <w:noProof/>
          <w:szCs w:val="22"/>
          <w:lang w:eastAsia="it-IT"/>
        </w:rPr>
        <w:t xml:space="preserve">Tabella </w:t>
      </w:r>
      <w:r w:rsidR="007C1E4D" w:rsidRPr="00CF17C5">
        <w:rPr>
          <w:rFonts w:asciiTheme="minorHAnsi" w:eastAsia="Times New Roman" w:hAnsiTheme="minorHAnsi" w:cstheme="minorHAnsi"/>
          <w:bCs w:val="0"/>
          <w:i w:val="0"/>
          <w:noProof/>
          <w:szCs w:val="22"/>
          <w:lang w:eastAsia="it-IT"/>
        </w:rPr>
        <w:fldChar w:fldCharType="begin"/>
      </w:r>
      <w:r w:rsidRPr="00CF17C5">
        <w:rPr>
          <w:rFonts w:asciiTheme="minorHAnsi" w:eastAsia="Times New Roman" w:hAnsiTheme="minorHAnsi" w:cstheme="minorHAnsi"/>
          <w:bCs w:val="0"/>
          <w:i w:val="0"/>
          <w:noProof/>
          <w:szCs w:val="22"/>
          <w:lang w:eastAsia="it-IT"/>
        </w:rPr>
        <w:instrText xml:space="preserve"> SEQ Tabella \* ARABIC </w:instrText>
      </w:r>
      <w:r w:rsidR="007C1E4D" w:rsidRPr="00CF17C5">
        <w:rPr>
          <w:rFonts w:asciiTheme="minorHAnsi" w:eastAsia="Times New Roman" w:hAnsiTheme="minorHAnsi" w:cstheme="minorHAnsi"/>
          <w:bCs w:val="0"/>
          <w:i w:val="0"/>
          <w:noProof/>
          <w:szCs w:val="22"/>
          <w:lang w:eastAsia="it-IT"/>
        </w:rPr>
        <w:fldChar w:fldCharType="separate"/>
      </w:r>
      <w:r w:rsidR="00BC4790">
        <w:rPr>
          <w:rFonts w:asciiTheme="minorHAnsi" w:eastAsia="Times New Roman" w:hAnsiTheme="minorHAnsi" w:cstheme="minorHAnsi"/>
          <w:bCs w:val="0"/>
          <w:i w:val="0"/>
          <w:noProof/>
          <w:szCs w:val="22"/>
          <w:lang w:eastAsia="it-IT"/>
        </w:rPr>
        <w:t>3</w:t>
      </w:r>
      <w:r w:rsidR="007C1E4D" w:rsidRPr="00CF17C5">
        <w:rPr>
          <w:rFonts w:asciiTheme="minorHAnsi" w:eastAsia="Times New Roman" w:hAnsiTheme="minorHAnsi" w:cstheme="minorHAnsi"/>
          <w:bCs w:val="0"/>
          <w:i w:val="0"/>
          <w:noProof/>
          <w:szCs w:val="22"/>
          <w:lang w:eastAsia="it-IT"/>
        </w:rPr>
        <w:fldChar w:fldCharType="end"/>
      </w:r>
      <w:bookmarkEnd w:id="15"/>
      <w:r w:rsidR="005B0F3D">
        <w:rPr>
          <w:rFonts w:asciiTheme="minorHAnsi" w:eastAsia="Times New Roman" w:hAnsiTheme="minorHAnsi" w:cstheme="minorHAnsi"/>
          <w:bCs w:val="0"/>
          <w:i w:val="0"/>
          <w:noProof/>
          <w:szCs w:val="22"/>
          <w:lang w:eastAsia="it-IT"/>
        </w:rPr>
        <w:t xml:space="preserve"> -</w:t>
      </w:r>
      <w:r w:rsidRPr="00CF17C5">
        <w:rPr>
          <w:rFonts w:asciiTheme="minorHAnsi" w:eastAsia="Times New Roman" w:hAnsiTheme="minorHAnsi" w:cstheme="minorHAnsi"/>
          <w:bCs w:val="0"/>
          <w:i w:val="0"/>
          <w:noProof/>
          <w:szCs w:val="22"/>
          <w:lang w:eastAsia="it-IT"/>
        </w:rPr>
        <w:t xml:space="preserve"> Personale </w:t>
      </w:r>
      <w:r w:rsidR="00310A75">
        <w:rPr>
          <w:rFonts w:asciiTheme="minorHAnsi" w:eastAsia="Times New Roman" w:hAnsiTheme="minorHAnsi" w:cstheme="minorHAnsi"/>
          <w:bCs w:val="0"/>
          <w:i w:val="0"/>
          <w:noProof/>
          <w:szCs w:val="22"/>
          <w:lang w:eastAsia="it-IT"/>
        </w:rPr>
        <w:t>giudicante</w:t>
      </w:r>
      <w:r w:rsidRPr="00CF17C5">
        <w:rPr>
          <w:rFonts w:asciiTheme="minorHAnsi" w:eastAsia="Times New Roman" w:hAnsiTheme="minorHAnsi" w:cstheme="minorHAnsi"/>
          <w:bCs w:val="0"/>
          <w:i w:val="0"/>
          <w:noProof/>
          <w:szCs w:val="22"/>
          <w:lang w:eastAsia="it-IT"/>
        </w:rPr>
        <w:t xml:space="preserve"> e amministrativo dei GdP nel Circondario di Vicenza</w:t>
      </w:r>
      <w:bookmarkEnd w:id="16"/>
    </w:p>
    <w:tbl>
      <w:tblPr>
        <w:tblW w:w="8979" w:type="dxa"/>
        <w:jc w:val="center"/>
        <w:tblInd w:w="55" w:type="dxa"/>
        <w:tblCellMar>
          <w:left w:w="70" w:type="dxa"/>
          <w:right w:w="70" w:type="dxa"/>
        </w:tblCellMar>
        <w:tblLook w:val="04A0" w:firstRow="1" w:lastRow="0" w:firstColumn="1" w:lastColumn="0" w:noHBand="0" w:noVBand="1"/>
      </w:tblPr>
      <w:tblGrid>
        <w:gridCol w:w="1814"/>
        <w:gridCol w:w="1417"/>
        <w:gridCol w:w="1497"/>
        <w:gridCol w:w="1417"/>
        <w:gridCol w:w="1417"/>
        <w:gridCol w:w="1417"/>
      </w:tblGrid>
      <w:tr w:rsidR="00A01B07" w:rsidRPr="00A01B07" w:rsidTr="00470C26">
        <w:trPr>
          <w:trHeight w:val="270"/>
          <w:jc w:val="center"/>
        </w:trPr>
        <w:tc>
          <w:tcPr>
            <w:tcW w:w="1814" w:type="dxa"/>
            <w:tcBorders>
              <w:top w:val="single" w:sz="8" w:space="0" w:color="4F81BD"/>
              <w:left w:val="single" w:sz="8" w:space="0" w:color="4F81BD"/>
              <w:bottom w:val="single" w:sz="12"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 xml:space="preserve">Sedi </w:t>
            </w:r>
            <w:proofErr w:type="spellStart"/>
            <w:r w:rsidRPr="00470C26">
              <w:rPr>
                <w:rFonts w:cs="Calibri"/>
                <w:b/>
                <w:bCs/>
                <w:color w:val="000000"/>
                <w:sz w:val="22"/>
              </w:rPr>
              <w:t>GdP</w:t>
            </w:r>
            <w:proofErr w:type="spellEnd"/>
          </w:p>
        </w:tc>
        <w:tc>
          <w:tcPr>
            <w:tcW w:w="1417" w:type="dxa"/>
            <w:tcBorders>
              <w:top w:val="single" w:sz="8" w:space="0" w:color="4F81BD"/>
              <w:left w:val="nil"/>
              <w:bottom w:val="single" w:sz="12" w:space="0" w:color="4F81BD"/>
              <w:right w:val="single" w:sz="8" w:space="0" w:color="4F81BD"/>
            </w:tcBorders>
            <w:shd w:val="clear" w:color="auto" w:fill="auto"/>
            <w:noWrap/>
            <w:vAlign w:val="center"/>
            <w:hideMark/>
          </w:tcPr>
          <w:p w:rsidR="00A01B07" w:rsidRPr="00470C26" w:rsidRDefault="00310A75" w:rsidP="00A01B07">
            <w:pPr>
              <w:spacing w:after="0" w:line="240" w:lineRule="auto"/>
              <w:jc w:val="center"/>
              <w:rPr>
                <w:rFonts w:cs="Calibri"/>
                <w:b/>
                <w:bCs/>
                <w:color w:val="000000"/>
              </w:rPr>
            </w:pPr>
            <w:r>
              <w:rPr>
                <w:rFonts w:cs="Calibri"/>
                <w:b/>
                <w:bCs/>
                <w:color w:val="000000"/>
                <w:sz w:val="22"/>
              </w:rPr>
              <w:t>Giudici</w:t>
            </w:r>
          </w:p>
        </w:tc>
        <w:tc>
          <w:tcPr>
            <w:tcW w:w="1497" w:type="dxa"/>
            <w:tcBorders>
              <w:top w:val="single" w:sz="8" w:space="0" w:color="4F81BD"/>
              <w:left w:val="nil"/>
              <w:bottom w:val="single" w:sz="12"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Amministrativi</w:t>
            </w:r>
          </w:p>
        </w:tc>
        <w:tc>
          <w:tcPr>
            <w:tcW w:w="1417" w:type="dxa"/>
            <w:tcBorders>
              <w:top w:val="single" w:sz="8" w:space="0" w:color="4F81BD"/>
              <w:left w:val="nil"/>
              <w:bottom w:val="single" w:sz="12"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Popolazione</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rsidR="00A01B07" w:rsidRPr="00470C26" w:rsidRDefault="00A01B07" w:rsidP="00310A75">
            <w:pPr>
              <w:spacing w:after="0" w:line="240" w:lineRule="auto"/>
              <w:jc w:val="center"/>
              <w:rPr>
                <w:rFonts w:cs="Calibri"/>
                <w:b/>
                <w:bCs/>
                <w:color w:val="000000"/>
              </w:rPr>
            </w:pPr>
            <w:r w:rsidRPr="00470C26">
              <w:rPr>
                <w:rFonts w:cs="Calibri"/>
                <w:b/>
                <w:bCs/>
                <w:color w:val="000000"/>
                <w:sz w:val="22"/>
              </w:rPr>
              <w:t>Pop</w:t>
            </w:r>
            <w:r w:rsidR="00470C26">
              <w:rPr>
                <w:rFonts w:cs="Calibri"/>
                <w:b/>
                <w:bCs/>
                <w:color w:val="000000"/>
                <w:sz w:val="22"/>
              </w:rPr>
              <w:t>/</w:t>
            </w:r>
            <w:r w:rsidR="00310A75">
              <w:rPr>
                <w:rFonts w:cs="Calibri"/>
                <w:b/>
                <w:bCs/>
                <w:color w:val="000000"/>
                <w:sz w:val="22"/>
              </w:rPr>
              <w:t>Giudice</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Pop</w:t>
            </w:r>
            <w:r w:rsidR="00470C26">
              <w:rPr>
                <w:rFonts w:cs="Calibri"/>
                <w:b/>
                <w:bCs/>
                <w:color w:val="000000"/>
                <w:sz w:val="22"/>
              </w:rPr>
              <w:t>/</w:t>
            </w:r>
            <w:proofErr w:type="spellStart"/>
            <w:r w:rsidR="00470C26">
              <w:rPr>
                <w:rFonts w:cs="Calibri"/>
                <w:b/>
                <w:bCs/>
                <w:color w:val="000000"/>
                <w:sz w:val="22"/>
              </w:rPr>
              <w:t>Ammin</w:t>
            </w:r>
            <w:proofErr w:type="spellEnd"/>
            <w:r w:rsidR="00470C26">
              <w:rPr>
                <w:rFonts w:cs="Calibri"/>
                <w:b/>
                <w:bCs/>
                <w:color w:val="000000"/>
                <w:sz w:val="22"/>
              </w:rPr>
              <w:t>.</w:t>
            </w:r>
          </w:p>
        </w:tc>
      </w:tr>
      <w:tr w:rsidR="00A01B07" w:rsidRPr="00A01B07" w:rsidTr="00470C26">
        <w:trPr>
          <w:trHeight w:val="330"/>
          <w:jc w:val="center"/>
        </w:trPr>
        <w:tc>
          <w:tcPr>
            <w:tcW w:w="1814" w:type="dxa"/>
            <w:tcBorders>
              <w:top w:val="nil"/>
              <w:left w:val="single" w:sz="8" w:space="0" w:color="4F81BD"/>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rPr>
                <w:rFonts w:cs="Calibri"/>
                <w:color w:val="000000"/>
              </w:rPr>
            </w:pPr>
            <w:r w:rsidRPr="00470C26">
              <w:rPr>
                <w:rFonts w:cs="Calibri"/>
                <w:color w:val="000000"/>
                <w:sz w:val="22"/>
              </w:rPr>
              <w:t>ARZIGNANO</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1</w:t>
            </w:r>
          </w:p>
        </w:tc>
        <w:tc>
          <w:tcPr>
            <w:tcW w:w="149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3</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72.767</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72.767</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24.256</w:t>
            </w:r>
          </w:p>
        </w:tc>
      </w:tr>
      <w:tr w:rsidR="00A01B07" w:rsidRPr="00A01B07" w:rsidTr="00470C26">
        <w:trPr>
          <w:trHeight w:val="315"/>
          <w:jc w:val="center"/>
        </w:trPr>
        <w:tc>
          <w:tcPr>
            <w:tcW w:w="1814" w:type="dxa"/>
            <w:tcBorders>
              <w:top w:val="nil"/>
              <w:left w:val="single" w:sz="8" w:space="0" w:color="4F81BD"/>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rPr>
                <w:rFonts w:cs="Calibri"/>
                <w:color w:val="000000"/>
              </w:rPr>
            </w:pPr>
            <w:r w:rsidRPr="00470C26">
              <w:rPr>
                <w:rFonts w:cs="Calibri"/>
                <w:color w:val="000000"/>
                <w:sz w:val="22"/>
              </w:rPr>
              <w:t>LONIGO</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2</w:t>
            </w:r>
          </w:p>
        </w:tc>
        <w:tc>
          <w:tcPr>
            <w:tcW w:w="149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3</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61.677</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30.839</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20.559</w:t>
            </w:r>
          </w:p>
        </w:tc>
      </w:tr>
      <w:tr w:rsidR="00A01B07" w:rsidRPr="00A01B07" w:rsidTr="00470C26">
        <w:trPr>
          <w:trHeight w:val="315"/>
          <w:jc w:val="center"/>
        </w:trPr>
        <w:tc>
          <w:tcPr>
            <w:tcW w:w="1814" w:type="dxa"/>
            <w:tcBorders>
              <w:top w:val="nil"/>
              <w:left w:val="single" w:sz="8" w:space="0" w:color="4F81BD"/>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rPr>
                <w:rFonts w:cs="Calibri"/>
                <w:color w:val="000000"/>
              </w:rPr>
            </w:pPr>
            <w:r w:rsidRPr="00470C26">
              <w:rPr>
                <w:rFonts w:cs="Calibri"/>
                <w:color w:val="000000"/>
                <w:sz w:val="22"/>
              </w:rPr>
              <w:t>SCHIO</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0</w:t>
            </w:r>
          </w:p>
        </w:tc>
        <w:tc>
          <w:tcPr>
            <w:tcW w:w="149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2</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90.827</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470C26" w:rsidP="00A01B07">
            <w:pPr>
              <w:spacing w:after="0" w:line="240" w:lineRule="auto"/>
              <w:jc w:val="center"/>
              <w:rPr>
                <w:rFonts w:cs="Calibri"/>
                <w:color w:val="000000"/>
              </w:rPr>
            </w:pPr>
            <w:r w:rsidRPr="00470C26">
              <w:rPr>
                <w:rFonts w:cs="Calibri"/>
                <w:color w:val="000000"/>
                <w:sz w:val="22"/>
              </w:rPr>
              <w:t>-</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45.414</w:t>
            </w:r>
          </w:p>
        </w:tc>
      </w:tr>
      <w:tr w:rsidR="00A01B07" w:rsidRPr="00A01B07" w:rsidTr="00470C26">
        <w:trPr>
          <w:trHeight w:val="315"/>
          <w:jc w:val="center"/>
        </w:trPr>
        <w:tc>
          <w:tcPr>
            <w:tcW w:w="1814" w:type="dxa"/>
            <w:tcBorders>
              <w:top w:val="nil"/>
              <w:left w:val="single" w:sz="8" w:space="0" w:color="4F81BD"/>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rPr>
                <w:rFonts w:cs="Calibri"/>
                <w:color w:val="000000"/>
              </w:rPr>
            </w:pPr>
            <w:r w:rsidRPr="00470C26">
              <w:rPr>
                <w:rFonts w:cs="Calibri"/>
                <w:color w:val="000000"/>
                <w:sz w:val="22"/>
              </w:rPr>
              <w:t>THIENE</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2</w:t>
            </w:r>
          </w:p>
        </w:tc>
        <w:tc>
          <w:tcPr>
            <w:tcW w:w="149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4</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88.456</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44.228</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22.114</w:t>
            </w:r>
          </w:p>
        </w:tc>
      </w:tr>
      <w:tr w:rsidR="00A01B07" w:rsidRPr="00A01B07" w:rsidTr="00470C26">
        <w:trPr>
          <w:trHeight w:val="315"/>
          <w:jc w:val="center"/>
        </w:trPr>
        <w:tc>
          <w:tcPr>
            <w:tcW w:w="1814" w:type="dxa"/>
            <w:tcBorders>
              <w:top w:val="nil"/>
              <w:left w:val="single" w:sz="8" w:space="0" w:color="4F81BD"/>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rPr>
                <w:rFonts w:cs="Calibri"/>
                <w:color w:val="000000"/>
              </w:rPr>
            </w:pPr>
            <w:r w:rsidRPr="00470C26">
              <w:rPr>
                <w:rFonts w:cs="Calibri"/>
                <w:color w:val="000000"/>
                <w:sz w:val="22"/>
              </w:rPr>
              <w:t>VALDAGNO</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0</w:t>
            </w:r>
          </w:p>
        </w:tc>
        <w:tc>
          <w:tcPr>
            <w:tcW w:w="149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2</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63.896</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470C26" w:rsidP="00A01B07">
            <w:pPr>
              <w:spacing w:after="0" w:line="240" w:lineRule="auto"/>
              <w:jc w:val="center"/>
              <w:rPr>
                <w:rFonts w:cs="Calibri"/>
                <w:color w:val="000000"/>
              </w:rPr>
            </w:pPr>
            <w:r w:rsidRPr="00470C26">
              <w:rPr>
                <w:rFonts w:cs="Calibri"/>
                <w:color w:val="000000"/>
                <w:sz w:val="22"/>
              </w:rPr>
              <w:t>-</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31.948</w:t>
            </w:r>
          </w:p>
        </w:tc>
      </w:tr>
      <w:tr w:rsidR="00A01B07" w:rsidRPr="00A01B07" w:rsidTr="00470C26">
        <w:trPr>
          <w:trHeight w:val="315"/>
          <w:jc w:val="center"/>
        </w:trPr>
        <w:tc>
          <w:tcPr>
            <w:tcW w:w="1814" w:type="dxa"/>
            <w:tcBorders>
              <w:top w:val="nil"/>
              <w:left w:val="single" w:sz="8" w:space="0" w:color="4F81BD"/>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rPr>
                <w:rFonts w:cs="Calibri"/>
                <w:color w:val="000000"/>
              </w:rPr>
            </w:pPr>
            <w:r w:rsidRPr="00470C26">
              <w:rPr>
                <w:rFonts w:cs="Calibri"/>
                <w:color w:val="000000"/>
                <w:sz w:val="22"/>
              </w:rPr>
              <w:t>VICENZA</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5</w:t>
            </w:r>
          </w:p>
        </w:tc>
        <w:tc>
          <w:tcPr>
            <w:tcW w:w="149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8</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297.167</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59.433</w:t>
            </w:r>
          </w:p>
        </w:tc>
        <w:tc>
          <w:tcPr>
            <w:tcW w:w="1417" w:type="dxa"/>
            <w:tcBorders>
              <w:top w:val="nil"/>
              <w:left w:val="nil"/>
              <w:bottom w:val="single" w:sz="8" w:space="0" w:color="4F81BD"/>
              <w:right w:val="single" w:sz="8" w:space="0" w:color="4F81BD"/>
            </w:tcBorders>
            <w:shd w:val="clear" w:color="auto" w:fill="auto"/>
            <w:noWrap/>
            <w:vAlign w:val="center"/>
            <w:hideMark/>
          </w:tcPr>
          <w:p w:rsidR="00A01B07" w:rsidRPr="00470C26" w:rsidRDefault="00A01B07" w:rsidP="00A01B07">
            <w:pPr>
              <w:spacing w:after="0" w:line="240" w:lineRule="auto"/>
              <w:jc w:val="center"/>
              <w:rPr>
                <w:rFonts w:cs="Calibri"/>
                <w:color w:val="000000"/>
              </w:rPr>
            </w:pPr>
            <w:r w:rsidRPr="00470C26">
              <w:rPr>
                <w:rFonts w:cs="Calibri"/>
                <w:color w:val="000000"/>
                <w:sz w:val="22"/>
              </w:rPr>
              <w:t>37.146</w:t>
            </w:r>
          </w:p>
        </w:tc>
      </w:tr>
      <w:tr w:rsidR="00A01B07" w:rsidRPr="00A01B07" w:rsidTr="00470C26">
        <w:trPr>
          <w:trHeight w:val="270"/>
          <w:jc w:val="center"/>
        </w:trPr>
        <w:tc>
          <w:tcPr>
            <w:tcW w:w="1814" w:type="dxa"/>
            <w:tcBorders>
              <w:top w:val="nil"/>
              <w:left w:val="single" w:sz="8" w:space="0" w:color="4F81BD"/>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rPr>
                <w:rFonts w:cs="Calibri"/>
                <w:b/>
                <w:bCs/>
                <w:color w:val="000000"/>
              </w:rPr>
            </w:pPr>
            <w:r w:rsidRPr="00470C26">
              <w:rPr>
                <w:rFonts w:cs="Calibri"/>
                <w:b/>
                <w:bCs/>
                <w:color w:val="000000"/>
                <w:sz w:val="22"/>
              </w:rPr>
              <w:t>TOTALI</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10</w:t>
            </w:r>
          </w:p>
        </w:tc>
        <w:tc>
          <w:tcPr>
            <w:tcW w:w="149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22</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674.790</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67.479</w:t>
            </w:r>
          </w:p>
        </w:tc>
        <w:tc>
          <w:tcPr>
            <w:tcW w:w="1417" w:type="dxa"/>
            <w:tcBorders>
              <w:top w:val="nil"/>
              <w:left w:val="nil"/>
              <w:bottom w:val="single" w:sz="8" w:space="0" w:color="4F81BD"/>
              <w:right w:val="single" w:sz="8" w:space="0" w:color="4F81BD"/>
            </w:tcBorders>
            <w:shd w:val="clear" w:color="000000" w:fill="D3DFEE"/>
            <w:noWrap/>
            <w:vAlign w:val="center"/>
            <w:hideMark/>
          </w:tcPr>
          <w:p w:rsidR="00A01B07" w:rsidRPr="00470C26" w:rsidRDefault="00A01B07" w:rsidP="00A01B07">
            <w:pPr>
              <w:spacing w:after="0" w:line="240" w:lineRule="auto"/>
              <w:jc w:val="center"/>
              <w:rPr>
                <w:rFonts w:cs="Calibri"/>
                <w:b/>
                <w:bCs/>
                <w:color w:val="000000"/>
              </w:rPr>
            </w:pPr>
            <w:r w:rsidRPr="00470C26">
              <w:rPr>
                <w:rFonts w:cs="Calibri"/>
                <w:b/>
                <w:bCs/>
                <w:color w:val="000000"/>
                <w:sz w:val="22"/>
              </w:rPr>
              <w:t>30.672</w:t>
            </w:r>
          </w:p>
        </w:tc>
      </w:tr>
    </w:tbl>
    <w:p w:rsidR="009A0C7C" w:rsidRDefault="009A0C7C" w:rsidP="00F25107">
      <w:pPr>
        <w:spacing w:before="240" w:after="0" w:line="360" w:lineRule="auto"/>
        <w:jc w:val="center"/>
        <w:rPr>
          <w:rFonts w:ascii="Arial" w:hAnsi="Arial" w:cs="Arial"/>
          <w:sz w:val="20"/>
          <w:szCs w:val="24"/>
        </w:rPr>
      </w:pPr>
      <w:r>
        <w:rPr>
          <w:rFonts w:ascii="Arial" w:hAnsi="Arial" w:cs="Arial"/>
          <w:sz w:val="20"/>
          <w:szCs w:val="24"/>
        </w:rPr>
        <w:tab/>
      </w:r>
      <w:r w:rsidRPr="007E6CBE">
        <w:rPr>
          <w:rFonts w:ascii="Arial" w:hAnsi="Arial" w:cs="Arial"/>
          <w:i/>
          <w:sz w:val="18"/>
          <w:szCs w:val="24"/>
        </w:rPr>
        <w:t>Fonte dati: Direzione Generale di Statistica - Ministero della Giustizia</w:t>
      </w:r>
      <w:r w:rsidRPr="007E6CBE">
        <w:rPr>
          <w:rFonts w:ascii="Arial" w:hAnsi="Arial" w:cs="Arial"/>
          <w:i/>
          <w:sz w:val="18"/>
          <w:szCs w:val="24"/>
        </w:rPr>
        <w:tab/>
      </w:r>
    </w:p>
    <w:p w:rsidR="009A0C7C" w:rsidRPr="009552E3" w:rsidRDefault="009A0C7C" w:rsidP="00021A6E">
      <w:pPr>
        <w:keepNext/>
        <w:spacing w:before="240" w:line="360" w:lineRule="auto"/>
        <w:rPr>
          <w:rFonts w:asciiTheme="minorHAnsi" w:hAnsiTheme="minorHAnsi" w:cstheme="minorHAnsi"/>
          <w:szCs w:val="24"/>
        </w:rPr>
      </w:pPr>
      <w:r w:rsidRPr="009552E3">
        <w:rPr>
          <w:rFonts w:asciiTheme="minorHAnsi" w:hAnsiTheme="minorHAnsi" w:cstheme="minorHAnsi"/>
          <w:szCs w:val="24"/>
        </w:rPr>
        <w:lastRenderedPageBreak/>
        <w:t xml:space="preserve">Dalla </w:t>
      </w:r>
      <w:r w:rsidR="00E90BB7">
        <w:fldChar w:fldCharType="begin"/>
      </w:r>
      <w:r w:rsidR="00E90BB7">
        <w:instrText xml:space="preserve"> REF _Ref328729417 \h  \* MERGEFORMAT </w:instrText>
      </w:r>
      <w:r w:rsidR="00E90BB7">
        <w:fldChar w:fldCharType="separate"/>
      </w:r>
      <w:r w:rsidR="00BC4790" w:rsidRPr="00BC4790">
        <w:rPr>
          <w:rFonts w:asciiTheme="minorHAnsi" w:hAnsiTheme="minorHAnsi" w:cstheme="minorHAnsi"/>
        </w:rPr>
        <w:t>Tabella 3</w:t>
      </w:r>
      <w:r w:rsidR="00E90BB7">
        <w:fldChar w:fldCharType="end"/>
      </w:r>
      <w:r w:rsidR="00441009">
        <w:rPr>
          <w:rFonts w:asciiTheme="minorHAnsi" w:hAnsiTheme="minorHAnsi" w:cstheme="minorHAnsi"/>
          <w:szCs w:val="24"/>
        </w:rPr>
        <w:t xml:space="preserve"> si evince che</w:t>
      </w:r>
      <w:r w:rsidRPr="009552E3">
        <w:rPr>
          <w:rFonts w:asciiTheme="minorHAnsi" w:hAnsiTheme="minorHAnsi" w:cstheme="minorHAnsi"/>
          <w:szCs w:val="24"/>
        </w:rPr>
        <w:t xml:space="preserve"> </w:t>
      </w:r>
      <w:r w:rsidR="00A01B07">
        <w:rPr>
          <w:rFonts w:asciiTheme="minorHAnsi" w:hAnsiTheme="minorHAnsi" w:cstheme="minorHAnsi"/>
          <w:szCs w:val="24"/>
        </w:rPr>
        <w:t>per Vicenza</w:t>
      </w:r>
      <w:r w:rsidRPr="009552E3">
        <w:rPr>
          <w:rFonts w:asciiTheme="minorHAnsi" w:hAnsiTheme="minorHAnsi" w:cstheme="minorHAnsi"/>
          <w:szCs w:val="24"/>
        </w:rPr>
        <w:t xml:space="preserve">: </w:t>
      </w:r>
    </w:p>
    <w:p w:rsidR="009A0C7C" w:rsidRPr="009552E3" w:rsidRDefault="009A0C7C" w:rsidP="004C1469">
      <w:pPr>
        <w:pStyle w:val="ListParagraph"/>
        <w:numPr>
          <w:ilvl w:val="0"/>
          <w:numId w:val="5"/>
        </w:numPr>
        <w:overflowPunct w:val="0"/>
        <w:autoSpaceDE w:val="0"/>
        <w:autoSpaceDN w:val="0"/>
        <w:adjustRightInd w:val="0"/>
        <w:spacing w:after="0" w:line="360" w:lineRule="auto"/>
        <w:textAlignment w:val="baseline"/>
        <w:rPr>
          <w:rFonts w:asciiTheme="minorHAnsi" w:hAnsiTheme="minorHAnsi" w:cstheme="minorHAnsi"/>
          <w:szCs w:val="24"/>
        </w:rPr>
      </w:pPr>
      <w:r w:rsidRPr="009552E3">
        <w:rPr>
          <w:rFonts w:asciiTheme="minorHAnsi" w:hAnsiTheme="minorHAnsi" w:cstheme="minorHAnsi"/>
          <w:szCs w:val="24"/>
        </w:rPr>
        <w:t xml:space="preserve">nell’Ufficio di Vicenza sono presenti </w:t>
      </w:r>
      <w:r w:rsidR="00E90BB7">
        <w:rPr>
          <w:rFonts w:asciiTheme="minorHAnsi" w:hAnsiTheme="minorHAnsi" w:cstheme="minorHAnsi"/>
          <w:szCs w:val="24"/>
        </w:rPr>
        <w:t xml:space="preserve">5 </w:t>
      </w:r>
      <w:r w:rsidR="00310A75">
        <w:rPr>
          <w:rFonts w:asciiTheme="minorHAnsi" w:hAnsiTheme="minorHAnsi" w:cstheme="minorHAnsi"/>
          <w:szCs w:val="24"/>
        </w:rPr>
        <w:t xml:space="preserve">giudici </w:t>
      </w:r>
      <w:r w:rsidRPr="005E5C4C">
        <w:rPr>
          <w:rFonts w:asciiTheme="minorHAnsi" w:hAnsiTheme="minorHAnsi" w:cstheme="minorHAnsi"/>
          <w:szCs w:val="24"/>
        </w:rPr>
        <w:t xml:space="preserve">(dei </w:t>
      </w:r>
      <w:r w:rsidR="00917645">
        <w:rPr>
          <w:rFonts w:asciiTheme="minorHAnsi" w:hAnsiTheme="minorHAnsi" w:cstheme="minorHAnsi"/>
          <w:szCs w:val="24"/>
        </w:rPr>
        <w:t>9</w:t>
      </w:r>
      <w:r w:rsidRPr="005E5C4C">
        <w:rPr>
          <w:rFonts w:asciiTheme="minorHAnsi" w:hAnsiTheme="minorHAnsi" w:cstheme="minorHAnsi"/>
          <w:szCs w:val="24"/>
        </w:rPr>
        <w:t xml:space="preserve"> previsti nell’organico)</w:t>
      </w:r>
      <w:r w:rsidR="00470C26">
        <w:rPr>
          <w:rFonts w:asciiTheme="minorHAnsi" w:hAnsiTheme="minorHAnsi" w:cstheme="minorHAnsi"/>
          <w:szCs w:val="24"/>
        </w:rPr>
        <w:t xml:space="preserve">, con un </w:t>
      </w:r>
      <w:r w:rsidR="00470C26" w:rsidRPr="00310A75">
        <w:rPr>
          <w:rFonts w:asciiTheme="minorHAnsi" w:hAnsiTheme="minorHAnsi" w:cstheme="minorHAnsi"/>
          <w:b/>
          <w:szCs w:val="24"/>
        </w:rPr>
        <w:t>rapporto Popolazione/</w:t>
      </w:r>
      <w:r w:rsidR="00310A75">
        <w:rPr>
          <w:rFonts w:asciiTheme="minorHAnsi" w:hAnsiTheme="minorHAnsi" w:cstheme="minorHAnsi"/>
          <w:b/>
          <w:szCs w:val="24"/>
        </w:rPr>
        <w:t>Giudici</w:t>
      </w:r>
      <w:r w:rsidR="00470C26" w:rsidRPr="00310A75">
        <w:rPr>
          <w:rFonts w:asciiTheme="minorHAnsi" w:hAnsiTheme="minorHAnsi" w:cstheme="minorHAnsi"/>
          <w:b/>
          <w:szCs w:val="24"/>
        </w:rPr>
        <w:t xml:space="preserve"> </w:t>
      </w:r>
      <w:r w:rsidR="00310A75">
        <w:rPr>
          <w:rFonts w:asciiTheme="minorHAnsi" w:hAnsiTheme="minorHAnsi" w:cstheme="minorHAnsi"/>
          <w:b/>
          <w:szCs w:val="24"/>
        </w:rPr>
        <w:t xml:space="preserve">leggermente </w:t>
      </w:r>
      <w:r w:rsidR="00470C26" w:rsidRPr="00310A75">
        <w:rPr>
          <w:rFonts w:asciiTheme="minorHAnsi" w:hAnsiTheme="minorHAnsi" w:cstheme="minorHAnsi"/>
          <w:b/>
          <w:szCs w:val="24"/>
        </w:rPr>
        <w:t>migliore rispetto alla media</w:t>
      </w:r>
      <w:r w:rsidR="00470C26">
        <w:rPr>
          <w:rFonts w:asciiTheme="minorHAnsi" w:hAnsiTheme="minorHAnsi" w:cstheme="minorHAnsi"/>
          <w:szCs w:val="24"/>
        </w:rPr>
        <w:t xml:space="preserve"> del Circondario di Vicenza</w:t>
      </w:r>
      <w:r w:rsidR="00310A75">
        <w:rPr>
          <w:rFonts w:asciiTheme="minorHAnsi" w:hAnsiTheme="minorHAnsi" w:cstheme="minorHAnsi"/>
          <w:szCs w:val="24"/>
        </w:rPr>
        <w:t xml:space="preserve"> e</w:t>
      </w:r>
      <w:r w:rsidR="00470C26">
        <w:rPr>
          <w:rFonts w:asciiTheme="minorHAnsi" w:hAnsiTheme="minorHAnsi" w:cstheme="minorHAnsi"/>
          <w:szCs w:val="24"/>
        </w:rPr>
        <w:t xml:space="preserve"> </w:t>
      </w:r>
      <w:r w:rsidR="00470C26" w:rsidRPr="00310A75">
        <w:rPr>
          <w:rFonts w:asciiTheme="minorHAnsi" w:hAnsiTheme="minorHAnsi" w:cstheme="minorHAnsi"/>
          <w:b/>
          <w:szCs w:val="24"/>
        </w:rPr>
        <w:t xml:space="preserve">un </w:t>
      </w:r>
      <w:r w:rsidR="00E90BB7" w:rsidRPr="00310A75">
        <w:rPr>
          <w:rFonts w:asciiTheme="minorHAnsi" w:hAnsiTheme="minorHAnsi" w:cstheme="minorHAnsi"/>
          <w:b/>
          <w:szCs w:val="24"/>
        </w:rPr>
        <w:t>giudice</w:t>
      </w:r>
      <w:r w:rsidR="00470C26" w:rsidRPr="00310A75">
        <w:rPr>
          <w:rFonts w:asciiTheme="minorHAnsi" w:hAnsiTheme="minorHAnsi" w:cstheme="minorHAnsi"/>
          <w:b/>
          <w:szCs w:val="24"/>
        </w:rPr>
        <w:t xml:space="preserve"> ogni circa 60mila abitanti</w:t>
      </w:r>
      <w:r w:rsidRPr="005E5C4C">
        <w:rPr>
          <w:rFonts w:asciiTheme="minorHAnsi" w:hAnsiTheme="minorHAnsi" w:cstheme="minorHAnsi"/>
          <w:szCs w:val="24"/>
        </w:rPr>
        <w:t>;</w:t>
      </w:r>
    </w:p>
    <w:p w:rsidR="009A0C7C" w:rsidRPr="009552E3" w:rsidRDefault="009A0C7C" w:rsidP="004C1469">
      <w:pPr>
        <w:pStyle w:val="ListParagraph"/>
        <w:numPr>
          <w:ilvl w:val="0"/>
          <w:numId w:val="5"/>
        </w:numPr>
        <w:overflowPunct w:val="0"/>
        <w:autoSpaceDE w:val="0"/>
        <w:autoSpaceDN w:val="0"/>
        <w:adjustRightInd w:val="0"/>
        <w:spacing w:after="0" w:line="360" w:lineRule="auto"/>
        <w:textAlignment w:val="baseline"/>
        <w:rPr>
          <w:rFonts w:asciiTheme="minorHAnsi" w:hAnsiTheme="minorHAnsi" w:cstheme="minorHAnsi"/>
          <w:szCs w:val="24"/>
        </w:rPr>
      </w:pPr>
      <w:r w:rsidRPr="009552E3">
        <w:rPr>
          <w:rFonts w:asciiTheme="minorHAnsi" w:hAnsiTheme="minorHAnsi" w:cstheme="minorHAnsi"/>
          <w:szCs w:val="24"/>
        </w:rPr>
        <w:t>il personale amministrativo (assistenti giudiziari, ausiliari, cancellieri, funzionari giudiziar</w:t>
      </w:r>
      <w:r w:rsidR="0065281B" w:rsidRPr="009552E3">
        <w:rPr>
          <w:rFonts w:asciiTheme="minorHAnsi" w:hAnsiTheme="minorHAnsi" w:cstheme="minorHAnsi"/>
          <w:szCs w:val="24"/>
        </w:rPr>
        <w:t>i, operatori giudiziari) conta 8</w:t>
      </w:r>
      <w:r w:rsidRPr="009552E3">
        <w:rPr>
          <w:rFonts w:asciiTheme="minorHAnsi" w:hAnsiTheme="minorHAnsi" w:cstheme="minorHAnsi"/>
          <w:szCs w:val="24"/>
        </w:rPr>
        <w:t xml:space="preserve"> unità presenti nell’Ufficio (rispetto ai 10 previsti nell’organico)</w:t>
      </w:r>
      <w:r w:rsidR="00470C26">
        <w:rPr>
          <w:rFonts w:asciiTheme="minorHAnsi" w:hAnsiTheme="minorHAnsi" w:cstheme="minorHAnsi"/>
          <w:szCs w:val="24"/>
        </w:rPr>
        <w:t xml:space="preserve">, ma </w:t>
      </w:r>
      <w:r w:rsidR="00310A75">
        <w:rPr>
          <w:rFonts w:asciiTheme="minorHAnsi" w:hAnsiTheme="minorHAnsi" w:cstheme="minorHAnsi"/>
          <w:szCs w:val="24"/>
        </w:rPr>
        <w:t xml:space="preserve">ha un </w:t>
      </w:r>
      <w:r w:rsidR="00310A75" w:rsidRPr="00310A75">
        <w:rPr>
          <w:rFonts w:asciiTheme="minorHAnsi" w:hAnsiTheme="minorHAnsi" w:cstheme="minorHAnsi"/>
          <w:b/>
          <w:szCs w:val="24"/>
        </w:rPr>
        <w:t xml:space="preserve">rapporto Popolazione/Personale </w:t>
      </w:r>
      <w:r w:rsidR="00470C26" w:rsidRPr="00310A75">
        <w:rPr>
          <w:rFonts w:asciiTheme="minorHAnsi" w:hAnsiTheme="minorHAnsi" w:cstheme="minorHAnsi"/>
          <w:b/>
          <w:szCs w:val="24"/>
        </w:rPr>
        <w:t>peggiore rispetto alla media</w:t>
      </w:r>
      <w:r w:rsidR="00470C26">
        <w:rPr>
          <w:rFonts w:asciiTheme="minorHAnsi" w:hAnsiTheme="minorHAnsi" w:cstheme="minorHAnsi"/>
          <w:szCs w:val="24"/>
        </w:rPr>
        <w:t xml:space="preserve"> del circondario con </w:t>
      </w:r>
      <w:r w:rsidR="00470C26" w:rsidRPr="00310A75">
        <w:rPr>
          <w:rFonts w:asciiTheme="minorHAnsi" w:hAnsiTheme="minorHAnsi" w:cstheme="minorHAnsi"/>
          <w:b/>
          <w:szCs w:val="24"/>
        </w:rPr>
        <w:t xml:space="preserve">circa </w:t>
      </w:r>
      <w:r w:rsidR="00310A75">
        <w:rPr>
          <w:rFonts w:asciiTheme="minorHAnsi" w:hAnsiTheme="minorHAnsi" w:cstheme="minorHAnsi"/>
          <w:b/>
          <w:szCs w:val="24"/>
        </w:rPr>
        <w:t xml:space="preserve">un amministrativo ogni </w:t>
      </w:r>
      <w:r w:rsidR="00470C26" w:rsidRPr="00310A75">
        <w:rPr>
          <w:rFonts w:asciiTheme="minorHAnsi" w:hAnsiTheme="minorHAnsi" w:cstheme="minorHAnsi"/>
          <w:b/>
          <w:szCs w:val="24"/>
        </w:rPr>
        <w:t>37mila abitanti</w:t>
      </w:r>
      <w:r w:rsidRPr="009552E3">
        <w:rPr>
          <w:rFonts w:asciiTheme="minorHAnsi" w:hAnsiTheme="minorHAnsi" w:cstheme="minorHAnsi"/>
          <w:szCs w:val="24"/>
        </w:rPr>
        <w:t>;</w:t>
      </w:r>
    </w:p>
    <w:p w:rsidR="00441009" w:rsidRDefault="00441009">
      <w:pPr>
        <w:spacing w:after="0" w:line="240" w:lineRule="auto"/>
        <w:jc w:val="left"/>
        <w:rPr>
          <w:rFonts w:asciiTheme="minorHAnsi" w:hAnsiTheme="minorHAnsi" w:cstheme="minorHAnsi"/>
          <w:szCs w:val="24"/>
        </w:rPr>
      </w:pPr>
      <w:r>
        <w:rPr>
          <w:rFonts w:asciiTheme="minorHAnsi" w:hAnsiTheme="minorHAnsi" w:cstheme="minorHAnsi"/>
          <w:szCs w:val="24"/>
        </w:rPr>
        <w:br w:type="page"/>
      </w:r>
    </w:p>
    <w:p w:rsidR="00640159" w:rsidRPr="00EE0378" w:rsidRDefault="00640159" w:rsidP="00640159">
      <w:pPr>
        <w:pStyle w:val="Heading1"/>
        <w:numPr>
          <w:ilvl w:val="0"/>
          <w:numId w:val="1"/>
        </w:numPr>
        <w:ind w:left="426" w:hanging="426"/>
      </w:pPr>
      <w:bookmarkStart w:id="17" w:name="_Toc367713338"/>
      <w:r w:rsidRPr="00EE0378">
        <w:lastRenderedPageBreak/>
        <w:t>ANALISI DEI COSTI DELL’UFFICIO</w:t>
      </w:r>
      <w:bookmarkEnd w:id="17"/>
    </w:p>
    <w:p w:rsidR="001F65B1" w:rsidRPr="007D3E5F" w:rsidRDefault="001F65B1" w:rsidP="001F65B1">
      <w:pPr>
        <w:shd w:val="clear" w:color="auto" w:fill="FFFFFF"/>
        <w:spacing w:after="0"/>
        <w:rPr>
          <w:rFonts w:cs="Calibri"/>
          <w:color w:val="000000"/>
        </w:rPr>
      </w:pPr>
      <w:r w:rsidRPr="007D3E5F">
        <w:rPr>
          <w:rFonts w:cs="Calibri"/>
          <w:color w:val="000000"/>
        </w:rPr>
        <w:t xml:space="preserve">Si evidenzia </w:t>
      </w:r>
      <w:r>
        <w:rPr>
          <w:rFonts w:cs="Calibri"/>
          <w:color w:val="000000"/>
        </w:rPr>
        <w:t>che l’analisi è stata svolta</w:t>
      </w:r>
      <w:r w:rsidRPr="007D3E5F">
        <w:rPr>
          <w:rFonts w:cs="Calibri"/>
          <w:color w:val="000000"/>
        </w:rPr>
        <w:t xml:space="preserve"> </w:t>
      </w:r>
      <w:r>
        <w:rPr>
          <w:rFonts w:cs="Calibri"/>
          <w:color w:val="000000"/>
        </w:rPr>
        <w:t>adottando</w:t>
      </w:r>
      <w:r w:rsidRPr="007D3E5F">
        <w:rPr>
          <w:rFonts w:cs="Calibri"/>
          <w:color w:val="000000"/>
        </w:rPr>
        <w:t xml:space="preserve"> come </w:t>
      </w:r>
      <w:r w:rsidRPr="007D3E5F">
        <w:rPr>
          <w:rFonts w:cs="Calibri"/>
          <w:b/>
          <w:color w:val="000000"/>
        </w:rPr>
        <w:t>anno di riferimento</w:t>
      </w:r>
      <w:r w:rsidRPr="007D3E5F">
        <w:rPr>
          <w:rFonts w:cs="Calibri"/>
          <w:color w:val="000000"/>
        </w:rPr>
        <w:t xml:space="preserve"> del bilancio quello solare, indipendentemente dall’anno giudiziario (1 luglio - 30 giugno) preso normalmente come riferimento periodico </w:t>
      </w:r>
      <w:r>
        <w:rPr>
          <w:rFonts w:cs="Calibri"/>
          <w:color w:val="000000"/>
        </w:rPr>
        <w:t>statistico ufficiale dagli</w:t>
      </w:r>
      <w:r w:rsidRPr="007D3E5F">
        <w:rPr>
          <w:rFonts w:cs="Calibri"/>
          <w:color w:val="000000"/>
        </w:rPr>
        <w:t xml:space="preserve"> UUGG. Tale scelta è finalizzata all’obiettivo di uniformare i documenti elaborati ad altre amministrazioni pubbliche e in generale al contesto socio-economico italiano.</w:t>
      </w:r>
    </w:p>
    <w:p w:rsidR="001F65B1" w:rsidRPr="005F60A5" w:rsidRDefault="001F65B1" w:rsidP="001F65B1">
      <w:pPr>
        <w:shd w:val="clear" w:color="auto" w:fill="FFFFFF"/>
        <w:spacing w:before="100" w:beforeAutospacing="1" w:after="0"/>
        <w:rPr>
          <w:rFonts w:cs="Calibri"/>
          <w:color w:val="000000"/>
        </w:rPr>
      </w:pPr>
      <w:r>
        <w:rPr>
          <w:rFonts w:cs="Calibri"/>
          <w:color w:val="000000"/>
        </w:rPr>
        <w:t xml:space="preserve">Le </w:t>
      </w:r>
      <w:r w:rsidRPr="005F60A5">
        <w:rPr>
          <w:rFonts w:cs="Calibri"/>
          <w:color w:val="000000"/>
        </w:rPr>
        <w:t xml:space="preserve">spese </w:t>
      </w:r>
      <w:r>
        <w:rPr>
          <w:rFonts w:cs="Calibri"/>
          <w:color w:val="000000"/>
        </w:rPr>
        <w:t xml:space="preserve">sono state suddivise </w:t>
      </w:r>
      <w:r w:rsidRPr="005F60A5">
        <w:rPr>
          <w:rFonts w:cs="Calibri"/>
          <w:color w:val="000000"/>
        </w:rPr>
        <w:t xml:space="preserve">in </w:t>
      </w:r>
      <w:r>
        <w:rPr>
          <w:rFonts w:cs="Calibri"/>
          <w:color w:val="000000"/>
        </w:rPr>
        <w:t>cinque</w:t>
      </w:r>
      <w:r w:rsidRPr="005F60A5">
        <w:rPr>
          <w:rFonts w:cs="Calibri"/>
          <w:color w:val="000000"/>
        </w:rPr>
        <w:t xml:space="preserve"> principali categorie:</w:t>
      </w:r>
    </w:p>
    <w:p w:rsidR="001F65B1" w:rsidRPr="00C27496" w:rsidRDefault="001F65B1" w:rsidP="00BC4790">
      <w:pPr>
        <w:numPr>
          <w:ilvl w:val="0"/>
          <w:numId w:val="21"/>
        </w:numPr>
        <w:shd w:val="clear" w:color="auto" w:fill="FFFFFF"/>
        <w:spacing w:after="150"/>
        <w:rPr>
          <w:rFonts w:cs="Calibri"/>
          <w:b/>
          <w:color w:val="000000"/>
        </w:rPr>
      </w:pPr>
      <w:r w:rsidRPr="00C27496">
        <w:rPr>
          <w:rFonts w:cs="Calibri"/>
          <w:b/>
          <w:color w:val="000000"/>
        </w:rPr>
        <w:t>spese di giustizia</w:t>
      </w:r>
      <w:r w:rsidRPr="00C27496">
        <w:rPr>
          <w:rFonts w:cs="Calibri"/>
          <w:color w:val="000000"/>
        </w:rPr>
        <w:t xml:space="preserve">: comprendono tutte le spese erogate direttamente dal Ministero del Tesoro per le retribuzioni lorde dei magistrati e del personale amministrativo, </w:t>
      </w:r>
      <w:r w:rsidR="00C27496">
        <w:rPr>
          <w:rFonts w:cs="Calibri"/>
          <w:color w:val="000000"/>
        </w:rPr>
        <w:t>le spese per i difensori d’ufficio e per gli altri collaboratori di giustizia</w:t>
      </w:r>
      <w:r w:rsidRPr="00C27496">
        <w:rPr>
          <w:rFonts w:cs="Calibri"/>
          <w:color w:val="000000"/>
        </w:rPr>
        <w:t>;</w:t>
      </w:r>
      <w:r w:rsidRPr="00C27496">
        <w:rPr>
          <w:rFonts w:cs="Calibri"/>
          <w:color w:val="004080"/>
          <w:szCs w:val="24"/>
        </w:rPr>
        <w:t xml:space="preserve"> </w:t>
      </w:r>
    </w:p>
    <w:p w:rsidR="00C27496" w:rsidRPr="00C27496" w:rsidRDefault="00C27496" w:rsidP="001F65B1">
      <w:pPr>
        <w:numPr>
          <w:ilvl w:val="0"/>
          <w:numId w:val="21"/>
        </w:numPr>
        <w:shd w:val="clear" w:color="auto" w:fill="FFFFFF"/>
        <w:spacing w:before="100" w:beforeAutospacing="1" w:after="150"/>
        <w:rPr>
          <w:rFonts w:cs="Calibri"/>
          <w:color w:val="000000"/>
        </w:rPr>
      </w:pPr>
      <w:r>
        <w:rPr>
          <w:rFonts w:cs="Calibri"/>
          <w:b/>
          <w:color w:val="000000"/>
        </w:rPr>
        <w:t xml:space="preserve">spese </w:t>
      </w:r>
      <w:r w:rsidRPr="005F60A5">
        <w:rPr>
          <w:rFonts w:cs="Calibri"/>
          <w:b/>
          <w:color w:val="000000"/>
        </w:rPr>
        <w:t>di struttura</w:t>
      </w:r>
      <w:r w:rsidRPr="005F60A5">
        <w:rPr>
          <w:rFonts w:cs="Calibri"/>
          <w:color w:val="000000"/>
        </w:rPr>
        <w:t>: comprendono</w:t>
      </w:r>
      <w:r>
        <w:rPr>
          <w:rFonts w:cs="Calibri"/>
          <w:color w:val="000000"/>
        </w:rPr>
        <w:t xml:space="preserve"> tutte le voci di spesa relative</w:t>
      </w:r>
      <w:r w:rsidRPr="005F60A5">
        <w:rPr>
          <w:rFonts w:cs="Calibri"/>
          <w:color w:val="000000"/>
        </w:rPr>
        <w:t xml:space="preserve"> a canoni di locazione, manutenzione e pulizia, energia e riscaldamento, arredi e impianti</w:t>
      </w:r>
      <w:r>
        <w:rPr>
          <w:rFonts w:cs="Calibri"/>
          <w:color w:val="000000"/>
        </w:rPr>
        <w:t xml:space="preserve"> </w:t>
      </w:r>
      <w:r w:rsidRPr="005F60A5">
        <w:rPr>
          <w:rFonts w:cs="Calibri"/>
          <w:color w:val="000000"/>
        </w:rPr>
        <w:t>adeguamento degli immobili in cui ha sede l’ufficio giudizia</w:t>
      </w:r>
      <w:r>
        <w:rPr>
          <w:rFonts w:cs="Calibri"/>
          <w:color w:val="000000"/>
        </w:rPr>
        <w:t>rio, anticipate dal Comune di Vicenza</w:t>
      </w:r>
      <w:r w:rsidRPr="005F60A5">
        <w:rPr>
          <w:rFonts w:cs="Calibri"/>
          <w:color w:val="000000"/>
        </w:rPr>
        <w:t xml:space="preserve"> e rimborsate in p</w:t>
      </w:r>
      <w:r>
        <w:rPr>
          <w:rFonts w:cs="Calibri"/>
          <w:color w:val="000000"/>
        </w:rPr>
        <w:t>arte a consuntivo dal Ministero;</w:t>
      </w:r>
    </w:p>
    <w:p w:rsidR="001F65B1" w:rsidRPr="00C27496" w:rsidRDefault="001F65B1" w:rsidP="00C27496">
      <w:pPr>
        <w:numPr>
          <w:ilvl w:val="0"/>
          <w:numId w:val="21"/>
        </w:numPr>
        <w:shd w:val="clear" w:color="auto" w:fill="FFFFFF"/>
        <w:spacing w:before="100" w:beforeAutospacing="1" w:after="150"/>
        <w:rPr>
          <w:rFonts w:cs="Calibri"/>
          <w:color w:val="000000"/>
        </w:rPr>
      </w:pPr>
      <w:r w:rsidRPr="000A33A8">
        <w:rPr>
          <w:rFonts w:cs="Calibri"/>
          <w:b/>
          <w:color w:val="000000"/>
        </w:rPr>
        <w:t>spese di supporto</w:t>
      </w:r>
      <w:r w:rsidRPr="000A33A8">
        <w:rPr>
          <w:rFonts w:cs="Calibri"/>
          <w:color w:val="000000"/>
        </w:rPr>
        <w:t>: raccoglie le voci di spesa relative al materiale necessario per supportare il funzionamento degli uffici, materiali di consumo, spese postali e gestione degli automezzi</w:t>
      </w:r>
      <w:r w:rsidR="00C27496">
        <w:rPr>
          <w:rFonts w:cs="Calibri"/>
          <w:color w:val="000000"/>
        </w:rPr>
        <w:t>, spese telefoniche e di vigilanza</w:t>
      </w:r>
      <w:r w:rsidRPr="000A33A8">
        <w:rPr>
          <w:rFonts w:cs="Calibri"/>
          <w:color w:val="000000"/>
        </w:rPr>
        <w:t>. Anche queste spese sono erogate dal Ministero della Giustizia;</w:t>
      </w:r>
    </w:p>
    <w:p w:rsidR="00EE0378" w:rsidRPr="00EE0378" w:rsidRDefault="00EE0378" w:rsidP="00EE0378">
      <w:pPr>
        <w:pStyle w:val="Caption"/>
        <w:spacing w:after="0" w:line="360" w:lineRule="auto"/>
        <w:rPr>
          <w:rFonts w:asciiTheme="minorHAnsi" w:eastAsia="Times New Roman" w:hAnsiTheme="minorHAnsi" w:cstheme="minorHAnsi"/>
          <w:bCs w:val="0"/>
          <w:i w:val="0"/>
          <w:noProof/>
          <w:szCs w:val="22"/>
          <w:lang w:eastAsia="it-IT"/>
        </w:rPr>
      </w:pPr>
      <w:bookmarkStart w:id="18" w:name="_Toc367703948"/>
      <w:r w:rsidRPr="00EE0378">
        <w:rPr>
          <w:rFonts w:asciiTheme="minorHAnsi" w:eastAsia="Times New Roman" w:hAnsiTheme="minorHAnsi" w:cstheme="minorHAnsi"/>
          <w:bCs w:val="0"/>
          <w:i w:val="0"/>
          <w:noProof/>
          <w:szCs w:val="22"/>
          <w:lang w:eastAsia="it-IT"/>
        </w:rPr>
        <w:t xml:space="preserve">Figura </w:t>
      </w:r>
      <w:r w:rsidRPr="00EE0378">
        <w:rPr>
          <w:rFonts w:asciiTheme="minorHAnsi" w:eastAsia="Times New Roman" w:hAnsiTheme="minorHAnsi" w:cstheme="minorHAnsi"/>
          <w:bCs w:val="0"/>
          <w:i w:val="0"/>
          <w:noProof/>
          <w:szCs w:val="22"/>
          <w:lang w:eastAsia="it-IT"/>
        </w:rPr>
        <w:fldChar w:fldCharType="begin"/>
      </w:r>
      <w:r w:rsidRPr="00EE0378">
        <w:rPr>
          <w:rFonts w:asciiTheme="minorHAnsi" w:eastAsia="Times New Roman" w:hAnsiTheme="minorHAnsi" w:cstheme="minorHAnsi"/>
          <w:bCs w:val="0"/>
          <w:i w:val="0"/>
          <w:noProof/>
          <w:szCs w:val="22"/>
          <w:lang w:eastAsia="it-IT"/>
        </w:rPr>
        <w:instrText xml:space="preserve"> SEQ Figura \* ARABIC </w:instrText>
      </w:r>
      <w:r w:rsidRPr="00EE0378">
        <w:rPr>
          <w:rFonts w:asciiTheme="minorHAnsi" w:eastAsia="Times New Roman" w:hAnsiTheme="minorHAnsi" w:cstheme="minorHAnsi"/>
          <w:bCs w:val="0"/>
          <w:i w:val="0"/>
          <w:noProof/>
          <w:szCs w:val="22"/>
          <w:lang w:eastAsia="it-IT"/>
        </w:rPr>
        <w:fldChar w:fldCharType="separate"/>
      </w:r>
      <w:r w:rsidR="00BC4790">
        <w:rPr>
          <w:rFonts w:asciiTheme="minorHAnsi" w:eastAsia="Times New Roman" w:hAnsiTheme="minorHAnsi" w:cstheme="minorHAnsi"/>
          <w:bCs w:val="0"/>
          <w:i w:val="0"/>
          <w:noProof/>
          <w:szCs w:val="22"/>
          <w:lang w:eastAsia="it-IT"/>
        </w:rPr>
        <w:t>4</w:t>
      </w:r>
      <w:r w:rsidRPr="00EE0378">
        <w:rPr>
          <w:rFonts w:asciiTheme="minorHAnsi" w:eastAsia="Times New Roman" w:hAnsiTheme="minorHAnsi" w:cstheme="minorHAnsi"/>
          <w:bCs w:val="0"/>
          <w:i w:val="0"/>
          <w:noProof/>
          <w:szCs w:val="22"/>
          <w:lang w:eastAsia="it-IT"/>
        </w:rPr>
        <w:fldChar w:fldCharType="end"/>
      </w:r>
      <w:r w:rsidRPr="00EE0378">
        <w:rPr>
          <w:rFonts w:asciiTheme="minorHAnsi" w:eastAsia="Times New Roman" w:hAnsiTheme="minorHAnsi" w:cstheme="minorHAnsi"/>
          <w:bCs w:val="0"/>
          <w:i w:val="0"/>
          <w:noProof/>
          <w:szCs w:val="22"/>
          <w:lang w:eastAsia="it-IT"/>
        </w:rPr>
        <w:t xml:space="preserve"> – Rendiconto finanziario delle spese del Giudice di Pace di Vicenza</w:t>
      </w:r>
      <w:bookmarkEnd w:id="18"/>
    </w:p>
    <w:p w:rsidR="00C27496" w:rsidRDefault="00C27496" w:rsidP="00BC4790">
      <w:pPr>
        <w:keepNext/>
        <w:jc w:val="center"/>
      </w:pPr>
      <w:r w:rsidRPr="00C27496">
        <w:rPr>
          <w:noProof/>
        </w:rPr>
        <w:drawing>
          <wp:inline distT="0" distB="0" distL="0" distR="0" wp14:anchorId="1B4F3CE2" wp14:editId="49DF6C6A">
            <wp:extent cx="5423338" cy="3431653"/>
            <wp:effectExtent l="76200" t="76200" r="139700" b="130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23338" cy="3431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0378" w:rsidRDefault="00EE0378" w:rsidP="001F65B1">
      <w:pPr>
        <w:spacing w:before="240"/>
      </w:pPr>
    </w:p>
    <w:p w:rsidR="00BC4790" w:rsidRDefault="001F65B1" w:rsidP="00BC4790">
      <w:pPr>
        <w:spacing w:before="240"/>
        <w:rPr>
          <w:b/>
        </w:rPr>
      </w:pPr>
      <w:r w:rsidRPr="00053021">
        <w:lastRenderedPageBreak/>
        <w:t xml:space="preserve">Nel complesso il </w:t>
      </w:r>
      <w:r w:rsidRPr="006434B4">
        <w:rPr>
          <w:b/>
        </w:rPr>
        <w:t xml:space="preserve">funzionamento del </w:t>
      </w:r>
      <w:r w:rsidR="00C27496">
        <w:rPr>
          <w:b/>
        </w:rPr>
        <w:t>Giudice di Pace di Vicenza</w:t>
      </w:r>
      <w:r w:rsidRPr="00053021">
        <w:t xml:space="preserve"> </w:t>
      </w:r>
      <w:r>
        <w:rPr>
          <w:b/>
        </w:rPr>
        <w:t>ammonta</w:t>
      </w:r>
      <w:r w:rsidRPr="00F07212">
        <w:rPr>
          <w:b/>
        </w:rPr>
        <w:t xml:space="preserve"> </w:t>
      </w:r>
      <w:r w:rsidRPr="006434B4">
        <w:t>a poco meno di</w:t>
      </w:r>
      <w:r w:rsidR="00C27496">
        <w:rPr>
          <w:b/>
        </w:rPr>
        <w:t xml:space="preserve"> 2,4 milioni di euro, </w:t>
      </w:r>
      <w:r w:rsidRPr="006D009E">
        <w:t>con</w:t>
      </w:r>
      <w:r>
        <w:rPr>
          <w:b/>
        </w:rPr>
        <w:t xml:space="preserve"> </w:t>
      </w:r>
      <w:r w:rsidRPr="006D009E">
        <w:t xml:space="preserve">un </w:t>
      </w:r>
      <w:r>
        <w:rPr>
          <w:b/>
        </w:rPr>
        <w:t xml:space="preserve">valore medio annuale </w:t>
      </w:r>
      <w:r w:rsidRPr="006D009E">
        <w:t>di</w:t>
      </w:r>
      <w:r w:rsidR="00C27496">
        <w:rPr>
          <w:b/>
        </w:rPr>
        <w:t xml:space="preserve"> circa 600.000€</w:t>
      </w:r>
      <w:r w:rsidR="00BC4790">
        <w:rPr>
          <w:b/>
        </w:rPr>
        <w:t>.</w:t>
      </w:r>
      <w:bookmarkStart w:id="19" w:name="_Ref349760564"/>
    </w:p>
    <w:p w:rsidR="00BC4790" w:rsidRDefault="001F65B1" w:rsidP="00BC4790">
      <w:pPr>
        <w:spacing w:before="240"/>
        <w:rPr>
          <w:rFonts w:cs="Calibri"/>
          <w:color w:val="000000"/>
        </w:rPr>
      </w:pPr>
      <w:r w:rsidRPr="00752376">
        <w:rPr>
          <w:noProof/>
        </w:rPr>
        <w:t xml:space="preserve">Nel </w:t>
      </w:r>
      <w:r w:rsidR="00C27496">
        <w:rPr>
          <w:noProof/>
        </w:rPr>
        <w:t>quadriennio</w:t>
      </w:r>
      <w:r w:rsidRPr="00752376">
        <w:rPr>
          <w:noProof/>
        </w:rPr>
        <w:t xml:space="preserve"> considerato (2009-201</w:t>
      </w:r>
      <w:r w:rsidR="00C27496">
        <w:rPr>
          <w:noProof/>
        </w:rPr>
        <w:t>2</w:t>
      </w:r>
      <w:r w:rsidRPr="00752376">
        <w:rPr>
          <w:noProof/>
        </w:rPr>
        <w:t xml:space="preserve">) le voci di costo in totale hanno visto un </w:t>
      </w:r>
      <w:r w:rsidR="00C27496">
        <w:rPr>
          <w:b/>
          <w:bCs/>
          <w:noProof/>
        </w:rPr>
        <w:t>decremento</w:t>
      </w:r>
      <w:r w:rsidRPr="00752376">
        <w:rPr>
          <w:b/>
          <w:bCs/>
          <w:noProof/>
        </w:rPr>
        <w:t xml:space="preserve"> del </w:t>
      </w:r>
      <w:r w:rsidR="00C27496">
        <w:rPr>
          <w:b/>
          <w:bCs/>
          <w:noProof/>
        </w:rPr>
        <w:t>30</w:t>
      </w:r>
      <w:r w:rsidRPr="00752376">
        <w:rPr>
          <w:b/>
          <w:bCs/>
          <w:noProof/>
        </w:rPr>
        <w:t>%</w:t>
      </w:r>
      <w:r w:rsidRPr="00752376">
        <w:rPr>
          <w:noProof/>
        </w:rPr>
        <w:t xml:space="preserve"> </w:t>
      </w:r>
      <w:r w:rsidRPr="002F4458">
        <w:rPr>
          <w:rFonts w:cs="Calibri"/>
          <w:color w:val="000000"/>
        </w:rPr>
        <w:t>pas</w:t>
      </w:r>
      <w:r w:rsidR="00C27496">
        <w:rPr>
          <w:rFonts w:cs="Calibri"/>
          <w:color w:val="000000"/>
        </w:rPr>
        <w:t>sando da 743 mila€</w:t>
      </w:r>
      <w:r>
        <w:rPr>
          <w:rFonts w:cs="Calibri"/>
          <w:color w:val="000000"/>
        </w:rPr>
        <w:t xml:space="preserve"> nel 2009 ai </w:t>
      </w:r>
      <w:r w:rsidR="003E1285">
        <w:rPr>
          <w:rFonts w:cs="Calibri"/>
          <w:color w:val="000000"/>
        </w:rPr>
        <w:t>521 mila</w:t>
      </w:r>
      <w:r>
        <w:rPr>
          <w:rFonts w:cs="Calibri"/>
          <w:color w:val="000000"/>
        </w:rPr>
        <w:t>€</w:t>
      </w:r>
      <w:r w:rsidRPr="002F4458">
        <w:rPr>
          <w:rFonts w:cs="Calibri"/>
          <w:color w:val="000000"/>
        </w:rPr>
        <w:t xml:space="preserve"> del 201</w:t>
      </w:r>
      <w:r w:rsidR="003E1285">
        <w:rPr>
          <w:rFonts w:cs="Calibri"/>
          <w:color w:val="000000"/>
        </w:rPr>
        <w:t>3</w:t>
      </w:r>
      <w:r w:rsidRPr="002F4458">
        <w:rPr>
          <w:rFonts w:cs="Calibri"/>
          <w:color w:val="000000"/>
        </w:rPr>
        <w:t>.</w:t>
      </w:r>
      <w:bookmarkStart w:id="20" w:name="_Toc367703949"/>
    </w:p>
    <w:p w:rsidR="00BC4790" w:rsidRPr="00BC4790" w:rsidRDefault="00EE0378" w:rsidP="00BC4790">
      <w:pPr>
        <w:pStyle w:val="Caption"/>
        <w:spacing w:after="0" w:line="360" w:lineRule="auto"/>
        <w:rPr>
          <w:rFonts w:asciiTheme="minorHAnsi" w:eastAsia="Times New Roman" w:hAnsiTheme="minorHAnsi" w:cstheme="minorHAnsi"/>
          <w:bCs w:val="0"/>
          <w:i w:val="0"/>
          <w:noProof/>
          <w:szCs w:val="22"/>
          <w:lang w:eastAsia="it-IT"/>
        </w:rPr>
      </w:pPr>
      <w:r w:rsidRPr="00EE0378">
        <w:rPr>
          <w:rFonts w:asciiTheme="minorHAnsi" w:eastAsia="Times New Roman" w:hAnsiTheme="minorHAnsi" w:cstheme="minorHAnsi"/>
          <w:bCs w:val="0"/>
          <w:i w:val="0"/>
          <w:noProof/>
          <w:szCs w:val="22"/>
          <w:lang w:eastAsia="it-IT"/>
        </w:rPr>
        <w:t xml:space="preserve">Figura </w:t>
      </w:r>
      <w:r w:rsidRPr="00EE0378">
        <w:rPr>
          <w:rFonts w:asciiTheme="minorHAnsi" w:eastAsia="Times New Roman" w:hAnsiTheme="minorHAnsi" w:cstheme="minorHAnsi"/>
          <w:bCs w:val="0"/>
          <w:i w:val="0"/>
          <w:noProof/>
          <w:szCs w:val="22"/>
          <w:lang w:eastAsia="it-IT"/>
        </w:rPr>
        <w:fldChar w:fldCharType="begin"/>
      </w:r>
      <w:r w:rsidRPr="00EE0378">
        <w:rPr>
          <w:rFonts w:asciiTheme="minorHAnsi" w:eastAsia="Times New Roman" w:hAnsiTheme="minorHAnsi" w:cstheme="minorHAnsi"/>
          <w:bCs w:val="0"/>
          <w:i w:val="0"/>
          <w:noProof/>
          <w:szCs w:val="22"/>
          <w:lang w:eastAsia="it-IT"/>
        </w:rPr>
        <w:instrText xml:space="preserve"> SEQ Figura \* ARABIC </w:instrText>
      </w:r>
      <w:r w:rsidRPr="00EE0378">
        <w:rPr>
          <w:rFonts w:asciiTheme="minorHAnsi" w:eastAsia="Times New Roman" w:hAnsiTheme="minorHAnsi" w:cstheme="minorHAnsi"/>
          <w:bCs w:val="0"/>
          <w:i w:val="0"/>
          <w:noProof/>
          <w:szCs w:val="22"/>
          <w:lang w:eastAsia="it-IT"/>
        </w:rPr>
        <w:fldChar w:fldCharType="separate"/>
      </w:r>
      <w:r w:rsidR="00BC4790">
        <w:rPr>
          <w:rFonts w:asciiTheme="minorHAnsi" w:eastAsia="Times New Roman" w:hAnsiTheme="minorHAnsi" w:cstheme="minorHAnsi"/>
          <w:bCs w:val="0"/>
          <w:i w:val="0"/>
          <w:noProof/>
          <w:szCs w:val="22"/>
          <w:lang w:eastAsia="it-IT"/>
        </w:rPr>
        <w:t>5</w:t>
      </w:r>
      <w:r w:rsidRPr="00EE0378">
        <w:rPr>
          <w:rFonts w:asciiTheme="minorHAnsi" w:eastAsia="Times New Roman" w:hAnsiTheme="minorHAnsi" w:cstheme="minorHAnsi"/>
          <w:bCs w:val="0"/>
          <w:i w:val="0"/>
          <w:noProof/>
          <w:szCs w:val="22"/>
          <w:lang w:eastAsia="it-IT"/>
        </w:rPr>
        <w:fldChar w:fldCharType="end"/>
      </w:r>
      <w:r w:rsidRPr="00EE0378">
        <w:rPr>
          <w:rFonts w:asciiTheme="minorHAnsi" w:eastAsia="Times New Roman" w:hAnsiTheme="minorHAnsi" w:cstheme="minorHAnsi"/>
          <w:bCs w:val="0"/>
          <w:i w:val="0"/>
          <w:noProof/>
          <w:szCs w:val="22"/>
          <w:lang w:eastAsia="it-IT"/>
        </w:rPr>
        <w:t xml:space="preserve"> – Analisi dei costi totali</w:t>
      </w:r>
      <w:bookmarkEnd w:id="20"/>
    </w:p>
    <w:p w:rsidR="00EE0378" w:rsidRPr="00EE0378" w:rsidRDefault="00BC4790" w:rsidP="00BC4790">
      <w:pPr>
        <w:spacing w:before="240"/>
        <w:rPr>
          <w:rFonts w:asciiTheme="minorHAnsi" w:hAnsiTheme="minorHAnsi" w:cstheme="minorHAnsi"/>
          <w:bCs/>
          <w:i/>
          <w:noProof/>
        </w:rPr>
      </w:pPr>
      <w:r w:rsidRPr="003E1285">
        <w:rPr>
          <w:noProof/>
        </w:rPr>
        <w:drawing>
          <wp:inline distT="0" distB="0" distL="0" distR="0" wp14:anchorId="3EFE6A6B" wp14:editId="41455FFD">
            <wp:extent cx="5619048" cy="3247619"/>
            <wp:effectExtent l="76200" t="76200" r="134620" b="1244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9048" cy="3247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bookmarkEnd w:id="19"/>
    <w:p w:rsidR="001F65B1" w:rsidRPr="00A66132" w:rsidRDefault="001F65B1" w:rsidP="001F65B1">
      <w:pPr>
        <w:keepNext/>
        <w:spacing w:before="240" w:after="0" w:line="240" w:lineRule="auto"/>
      </w:pPr>
      <w:r w:rsidRPr="00A66132">
        <w:lastRenderedPageBreak/>
        <w:t xml:space="preserve">Di seguito viene riportato invece il dettaglio delle </w:t>
      </w:r>
      <w:r w:rsidR="003E1285">
        <w:t>tre</w:t>
      </w:r>
      <w:r w:rsidRPr="00A66132">
        <w:t xml:space="preserve"> </w:t>
      </w:r>
      <w:proofErr w:type="spellStart"/>
      <w:r w:rsidRPr="00A66132">
        <w:t>macrovoci</w:t>
      </w:r>
      <w:proofErr w:type="spellEnd"/>
      <w:r w:rsidRPr="00A66132">
        <w:t xml:space="preserve"> nel triennio in considerazione</w:t>
      </w:r>
      <w:r>
        <w:t>:</w:t>
      </w:r>
    </w:p>
    <w:p w:rsidR="00EE0378" w:rsidRDefault="00EE0378" w:rsidP="003E1285">
      <w:pPr>
        <w:keepNext/>
        <w:spacing w:after="0"/>
        <w:jc w:val="center"/>
      </w:pPr>
    </w:p>
    <w:p w:rsidR="003E1285" w:rsidRDefault="00EE0378" w:rsidP="003E1285">
      <w:pPr>
        <w:keepNext/>
        <w:spacing w:after="0"/>
        <w:jc w:val="center"/>
      </w:pPr>
      <w:r w:rsidRPr="00EE0378">
        <w:rPr>
          <w:rFonts w:asciiTheme="minorHAnsi" w:hAnsiTheme="minorHAnsi" w:cstheme="minorHAnsi"/>
          <w:b/>
          <w:noProof/>
          <w:sz w:val="22"/>
        </w:rPr>
        <w:t xml:space="preserve">Figura 6 – Dettaglio dell’Analisi dei costi </w:t>
      </w:r>
      <w:r w:rsidR="003E1285" w:rsidRPr="003E1285">
        <w:rPr>
          <w:noProof/>
        </w:rPr>
        <w:drawing>
          <wp:inline distT="0" distB="0" distL="0" distR="0" wp14:anchorId="602988AB" wp14:editId="346CE8C8">
            <wp:extent cx="5676191" cy="3180953"/>
            <wp:effectExtent l="76200" t="76200" r="134620" b="133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76191" cy="3180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65B1" w:rsidRDefault="003E1285" w:rsidP="001F65B1">
      <w:pPr>
        <w:keepNext/>
        <w:spacing w:before="240" w:after="0" w:line="240" w:lineRule="auto"/>
        <w:jc w:val="left"/>
        <w:rPr>
          <w:noProof/>
        </w:rPr>
      </w:pPr>
      <w:r>
        <w:rPr>
          <w:noProof/>
        </w:rPr>
        <w:t>Nella figura di seguito</w:t>
      </w:r>
      <w:r w:rsidR="001F65B1">
        <w:rPr>
          <w:noProof/>
        </w:rPr>
        <w:t xml:space="preserve"> viene fornito invece il dettaglio dell’andamento delle </w:t>
      </w:r>
      <w:r>
        <w:rPr>
          <w:noProof/>
        </w:rPr>
        <w:t>tre</w:t>
      </w:r>
      <w:r w:rsidR="001F65B1">
        <w:rPr>
          <w:noProof/>
        </w:rPr>
        <w:t xml:space="preserve"> macrovoci nel </w:t>
      </w:r>
      <w:r>
        <w:rPr>
          <w:noProof/>
        </w:rPr>
        <w:t>quadriennio</w:t>
      </w:r>
      <w:r w:rsidR="001F65B1">
        <w:rPr>
          <w:noProof/>
        </w:rPr>
        <w:t xml:space="preserve"> di riferimento.</w:t>
      </w:r>
    </w:p>
    <w:p w:rsidR="00EE0378" w:rsidRDefault="00EE0378" w:rsidP="001F65B1">
      <w:pPr>
        <w:keepNext/>
        <w:spacing w:before="240" w:after="0" w:line="240" w:lineRule="auto"/>
        <w:jc w:val="left"/>
        <w:rPr>
          <w:rFonts w:asciiTheme="minorHAnsi" w:hAnsiTheme="minorHAnsi" w:cstheme="minorHAnsi"/>
          <w:b/>
          <w:noProof/>
          <w:sz w:val="22"/>
        </w:rPr>
      </w:pPr>
    </w:p>
    <w:p w:rsidR="00EE0378" w:rsidRPr="00186944" w:rsidRDefault="00EE0378" w:rsidP="00186944">
      <w:pPr>
        <w:pStyle w:val="Caption"/>
        <w:spacing w:after="0"/>
        <w:rPr>
          <w:rFonts w:asciiTheme="minorHAnsi" w:eastAsia="Times New Roman" w:hAnsiTheme="minorHAnsi" w:cstheme="minorHAnsi"/>
          <w:bCs w:val="0"/>
          <w:i w:val="0"/>
          <w:noProof/>
          <w:szCs w:val="22"/>
          <w:lang w:eastAsia="it-IT"/>
        </w:rPr>
      </w:pPr>
      <w:bookmarkStart w:id="21" w:name="_Toc367703950"/>
      <w:r w:rsidRPr="00186944">
        <w:rPr>
          <w:rFonts w:asciiTheme="minorHAnsi" w:eastAsia="Times New Roman" w:hAnsiTheme="minorHAnsi" w:cstheme="minorHAnsi"/>
          <w:bCs w:val="0"/>
          <w:i w:val="0"/>
          <w:noProof/>
          <w:szCs w:val="22"/>
          <w:lang w:eastAsia="it-IT"/>
        </w:rPr>
        <w:t xml:space="preserve">Figura </w:t>
      </w:r>
      <w:r w:rsidRPr="00186944">
        <w:rPr>
          <w:rFonts w:asciiTheme="minorHAnsi" w:eastAsia="Times New Roman" w:hAnsiTheme="minorHAnsi" w:cstheme="minorHAnsi"/>
          <w:bCs w:val="0"/>
          <w:i w:val="0"/>
          <w:noProof/>
          <w:szCs w:val="22"/>
          <w:lang w:eastAsia="it-IT"/>
        </w:rPr>
        <w:fldChar w:fldCharType="begin"/>
      </w:r>
      <w:r w:rsidRPr="00186944">
        <w:rPr>
          <w:rFonts w:asciiTheme="minorHAnsi" w:eastAsia="Times New Roman" w:hAnsiTheme="minorHAnsi" w:cstheme="minorHAnsi"/>
          <w:bCs w:val="0"/>
          <w:i w:val="0"/>
          <w:noProof/>
          <w:szCs w:val="22"/>
          <w:lang w:eastAsia="it-IT"/>
        </w:rPr>
        <w:instrText xml:space="preserve"> SEQ Figura \* ARABIC </w:instrText>
      </w:r>
      <w:r w:rsidRPr="00186944">
        <w:rPr>
          <w:rFonts w:asciiTheme="minorHAnsi" w:eastAsia="Times New Roman" w:hAnsiTheme="minorHAnsi" w:cstheme="minorHAnsi"/>
          <w:bCs w:val="0"/>
          <w:i w:val="0"/>
          <w:noProof/>
          <w:szCs w:val="22"/>
          <w:lang w:eastAsia="it-IT"/>
        </w:rPr>
        <w:fldChar w:fldCharType="separate"/>
      </w:r>
      <w:r w:rsidR="00BC4790">
        <w:rPr>
          <w:rFonts w:asciiTheme="minorHAnsi" w:eastAsia="Times New Roman" w:hAnsiTheme="minorHAnsi" w:cstheme="minorHAnsi"/>
          <w:bCs w:val="0"/>
          <w:i w:val="0"/>
          <w:noProof/>
          <w:szCs w:val="22"/>
          <w:lang w:eastAsia="it-IT"/>
        </w:rPr>
        <w:t>6</w:t>
      </w:r>
      <w:r w:rsidRPr="00186944">
        <w:rPr>
          <w:rFonts w:asciiTheme="minorHAnsi" w:eastAsia="Times New Roman" w:hAnsiTheme="minorHAnsi" w:cstheme="minorHAnsi"/>
          <w:bCs w:val="0"/>
          <w:i w:val="0"/>
          <w:noProof/>
          <w:szCs w:val="22"/>
          <w:lang w:eastAsia="it-IT"/>
        </w:rPr>
        <w:fldChar w:fldCharType="end"/>
      </w:r>
      <w:r w:rsidRPr="00186944">
        <w:rPr>
          <w:rFonts w:asciiTheme="minorHAnsi" w:eastAsia="Times New Roman" w:hAnsiTheme="minorHAnsi" w:cstheme="minorHAnsi"/>
          <w:bCs w:val="0"/>
          <w:i w:val="0"/>
          <w:noProof/>
          <w:szCs w:val="22"/>
          <w:lang w:eastAsia="it-IT"/>
        </w:rPr>
        <w:t xml:space="preserve"> – Andamento delle macrovoci di spesa</w:t>
      </w:r>
      <w:bookmarkEnd w:id="21"/>
    </w:p>
    <w:p w:rsidR="003E1285" w:rsidRDefault="00FE6B6B" w:rsidP="003E1285">
      <w:pPr>
        <w:keepNext/>
        <w:spacing w:before="240" w:after="0" w:line="240" w:lineRule="auto"/>
        <w:jc w:val="center"/>
      </w:pPr>
      <w:r w:rsidRPr="00FE6B6B">
        <w:rPr>
          <w:noProof/>
        </w:rPr>
        <w:drawing>
          <wp:inline distT="0" distB="0" distL="0" distR="0" wp14:anchorId="231C3F25" wp14:editId="0DAF2285">
            <wp:extent cx="5638096" cy="2495238"/>
            <wp:effectExtent l="76200" t="76200" r="134620" b="133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38096" cy="2495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1285" w:rsidRPr="00EE0378" w:rsidRDefault="003E1285" w:rsidP="00EE0378">
      <w:pPr>
        <w:pStyle w:val="Caption"/>
        <w:spacing w:after="0" w:line="360" w:lineRule="auto"/>
        <w:rPr>
          <w:rFonts w:asciiTheme="minorHAnsi" w:eastAsia="Times New Roman" w:hAnsiTheme="minorHAnsi" w:cstheme="minorHAnsi"/>
          <w:bCs w:val="0"/>
          <w:i w:val="0"/>
          <w:noProof/>
          <w:szCs w:val="22"/>
          <w:lang w:eastAsia="it-IT"/>
        </w:rPr>
      </w:pPr>
    </w:p>
    <w:p w:rsidR="00BC4790" w:rsidRDefault="00BC4790" w:rsidP="00BC4790">
      <w:pPr>
        <w:keepNext/>
        <w:spacing w:before="240"/>
        <w:rPr>
          <w:noProof/>
        </w:rPr>
      </w:pPr>
    </w:p>
    <w:p w:rsidR="001F65B1" w:rsidRDefault="001F65B1" w:rsidP="00BC4790">
      <w:pPr>
        <w:keepNext/>
        <w:spacing w:before="240"/>
        <w:rPr>
          <w:noProof/>
        </w:rPr>
      </w:pPr>
      <w:r>
        <w:rPr>
          <w:noProof/>
        </w:rPr>
        <w:lastRenderedPageBreak/>
        <w:t>Analizzando nel dettaglio le singole categorie è possibile e</w:t>
      </w:r>
      <w:r w:rsidR="00BC4790">
        <w:rPr>
          <w:noProof/>
        </w:rPr>
        <w:t>ffettuare alcune considerazioni:</w:t>
      </w:r>
    </w:p>
    <w:p w:rsidR="001F65B1" w:rsidRDefault="001F65B1" w:rsidP="001F65B1">
      <w:pPr>
        <w:numPr>
          <w:ilvl w:val="0"/>
          <w:numId w:val="22"/>
        </w:numPr>
        <w:autoSpaceDE w:val="0"/>
        <w:autoSpaceDN w:val="0"/>
        <w:adjustRightInd w:val="0"/>
        <w:rPr>
          <w:rFonts w:cs="Calibri"/>
          <w:noProof/>
        </w:rPr>
      </w:pPr>
      <w:r>
        <w:rPr>
          <w:rFonts w:cs="Calibri"/>
          <w:noProof/>
        </w:rPr>
        <w:t xml:space="preserve">le </w:t>
      </w:r>
      <w:r w:rsidRPr="002F4458">
        <w:rPr>
          <w:rFonts w:cs="Calibri"/>
          <w:b/>
          <w:noProof/>
        </w:rPr>
        <w:t xml:space="preserve">spese </w:t>
      </w:r>
      <w:r w:rsidR="00FE6B6B">
        <w:rPr>
          <w:rFonts w:cs="Calibri"/>
          <w:b/>
          <w:noProof/>
        </w:rPr>
        <w:t>di giustizia</w:t>
      </w:r>
      <w:r w:rsidRPr="002F4458">
        <w:rPr>
          <w:rFonts w:cs="Calibri"/>
          <w:noProof/>
        </w:rPr>
        <w:t xml:space="preserve"> </w:t>
      </w:r>
      <w:r>
        <w:rPr>
          <w:rFonts w:cs="Calibri"/>
          <w:noProof/>
        </w:rPr>
        <w:t>rappresentano la parte principale dei costi (</w:t>
      </w:r>
      <w:r w:rsidRPr="00193144">
        <w:rPr>
          <w:rFonts w:cs="Calibri"/>
          <w:b/>
          <w:noProof/>
        </w:rPr>
        <w:t>circa il 7</w:t>
      </w:r>
      <w:r>
        <w:rPr>
          <w:rFonts w:cs="Calibri"/>
          <w:b/>
          <w:noProof/>
        </w:rPr>
        <w:t>0</w:t>
      </w:r>
      <w:r w:rsidRPr="00193144">
        <w:rPr>
          <w:rFonts w:cs="Calibri"/>
          <w:b/>
          <w:noProof/>
        </w:rPr>
        <w:t>% del totale</w:t>
      </w:r>
      <w:r>
        <w:rPr>
          <w:rFonts w:cs="Calibri"/>
          <w:noProof/>
        </w:rPr>
        <w:t xml:space="preserve">) e ammontano in media a </w:t>
      </w:r>
      <w:r w:rsidR="00FE6B6B">
        <w:rPr>
          <w:rFonts w:cs="Calibri"/>
          <w:noProof/>
        </w:rPr>
        <w:t>400.000€</w:t>
      </w:r>
      <w:r>
        <w:rPr>
          <w:rFonts w:cs="Calibri"/>
          <w:noProof/>
        </w:rPr>
        <w:t xml:space="preserve"> all’anno. La parte preponderante di tali spese </w:t>
      </w:r>
      <w:r w:rsidRPr="001203EB">
        <w:rPr>
          <w:rFonts w:cs="Calibri"/>
          <w:noProof/>
        </w:rPr>
        <w:t>è costituita dalle retribuzioni per il personale di magistratura</w:t>
      </w:r>
      <w:r>
        <w:rPr>
          <w:rFonts w:cs="Calibri"/>
          <w:noProof/>
        </w:rPr>
        <w:t xml:space="preserve"> (</w:t>
      </w:r>
      <w:r w:rsidR="00FE6B6B">
        <w:rPr>
          <w:rFonts w:cs="Calibri"/>
          <w:noProof/>
        </w:rPr>
        <w:t>226 mila€</w:t>
      </w:r>
      <w:r>
        <w:rPr>
          <w:rFonts w:cs="Calibri"/>
          <w:noProof/>
        </w:rPr>
        <w:t>/anno)</w:t>
      </w:r>
      <w:r w:rsidRPr="001203EB">
        <w:rPr>
          <w:rFonts w:cs="Calibri"/>
          <w:noProof/>
        </w:rPr>
        <w:t>, cui fanno seguito i compensi del personale amministrativo</w:t>
      </w:r>
      <w:r w:rsidR="00FE6B6B">
        <w:rPr>
          <w:rFonts w:cs="Calibri"/>
          <w:noProof/>
        </w:rPr>
        <w:t xml:space="preserve"> (173</w:t>
      </w:r>
      <w:r w:rsidR="00BC4790">
        <w:rPr>
          <w:rFonts w:cs="Calibri"/>
          <w:noProof/>
        </w:rPr>
        <w:t>mila</w:t>
      </w:r>
      <w:r w:rsidR="00FE6B6B">
        <w:rPr>
          <w:rFonts w:cs="Calibri"/>
          <w:noProof/>
        </w:rPr>
        <w:t>€</w:t>
      </w:r>
      <w:r>
        <w:rPr>
          <w:rFonts w:cs="Calibri"/>
          <w:noProof/>
        </w:rPr>
        <w:t xml:space="preserve">/anno). Nel </w:t>
      </w:r>
      <w:r w:rsidR="00FE6B6B">
        <w:rPr>
          <w:rFonts w:cs="Calibri"/>
          <w:noProof/>
        </w:rPr>
        <w:t>quadriennio in esame tali spese si sono quasi dimezzate a causa del personale che nei vari anni è diminuito e a causa del</w:t>
      </w:r>
      <w:r w:rsidR="00385ECE">
        <w:rPr>
          <w:rFonts w:cs="Calibri"/>
          <w:noProof/>
        </w:rPr>
        <w:t>la diminuzione de</w:t>
      </w:r>
      <w:r w:rsidR="00FE6B6B">
        <w:rPr>
          <w:rFonts w:cs="Calibri"/>
          <w:noProof/>
        </w:rPr>
        <w:t xml:space="preserve">i procedimenti </w:t>
      </w:r>
      <w:r w:rsidR="00385ECE">
        <w:rPr>
          <w:rFonts w:cs="Calibri"/>
          <w:noProof/>
        </w:rPr>
        <w:t>sopravvenuti che determinano</w:t>
      </w:r>
      <w:r w:rsidR="00FE6B6B">
        <w:rPr>
          <w:rFonts w:cs="Calibri"/>
          <w:noProof/>
        </w:rPr>
        <w:t xml:space="preserve"> l’indennità verso i Giudici di Pace</w:t>
      </w:r>
      <w:r>
        <w:rPr>
          <w:rFonts w:cs="Calibri"/>
          <w:noProof/>
        </w:rPr>
        <w:t>;</w:t>
      </w:r>
    </w:p>
    <w:p w:rsidR="001F65B1" w:rsidRPr="00193144" w:rsidRDefault="001F65B1" w:rsidP="001F65B1">
      <w:pPr>
        <w:numPr>
          <w:ilvl w:val="0"/>
          <w:numId w:val="22"/>
        </w:numPr>
        <w:autoSpaceDE w:val="0"/>
        <w:autoSpaceDN w:val="0"/>
        <w:adjustRightInd w:val="0"/>
        <w:rPr>
          <w:rFonts w:cs="Calibri"/>
          <w:noProof/>
        </w:rPr>
      </w:pPr>
      <w:r>
        <w:rPr>
          <w:rFonts w:cs="Calibri"/>
          <w:noProof/>
        </w:rPr>
        <w:t xml:space="preserve">le </w:t>
      </w:r>
      <w:r w:rsidRPr="001B2F63">
        <w:rPr>
          <w:rFonts w:cs="Calibri"/>
          <w:b/>
          <w:noProof/>
        </w:rPr>
        <w:t>spese di struttura</w:t>
      </w:r>
      <w:r>
        <w:rPr>
          <w:rFonts w:cs="Calibri"/>
          <w:noProof/>
        </w:rPr>
        <w:t xml:space="preserve"> </w:t>
      </w:r>
      <w:r w:rsidRPr="00193144">
        <w:rPr>
          <w:rFonts w:cs="Calibri"/>
          <w:b/>
          <w:noProof/>
        </w:rPr>
        <w:t>(</w:t>
      </w:r>
      <w:r w:rsidR="00FE6B6B">
        <w:rPr>
          <w:rFonts w:cs="Calibri"/>
          <w:b/>
          <w:noProof/>
        </w:rPr>
        <w:t>20</w:t>
      </w:r>
      <w:r w:rsidRPr="00193144">
        <w:rPr>
          <w:rFonts w:cs="Calibri"/>
          <w:b/>
          <w:noProof/>
        </w:rPr>
        <w:t>%</w:t>
      </w:r>
      <w:r>
        <w:rPr>
          <w:rFonts w:cs="Calibri"/>
          <w:b/>
          <w:noProof/>
        </w:rPr>
        <w:t xml:space="preserve"> del totale</w:t>
      </w:r>
      <w:r w:rsidRPr="00193144">
        <w:rPr>
          <w:rFonts w:cs="Calibri"/>
          <w:b/>
          <w:noProof/>
        </w:rPr>
        <w:t>)</w:t>
      </w:r>
      <w:r>
        <w:rPr>
          <w:rFonts w:cs="Calibri"/>
          <w:noProof/>
        </w:rPr>
        <w:t xml:space="preserve"> ammontano in media a circa €</w:t>
      </w:r>
      <w:r w:rsidR="00FE6B6B">
        <w:rPr>
          <w:rFonts w:cs="Calibri"/>
          <w:noProof/>
        </w:rPr>
        <w:t>127</w:t>
      </w:r>
      <w:r>
        <w:rPr>
          <w:rFonts w:cs="Calibri"/>
          <w:noProof/>
        </w:rPr>
        <w:t xml:space="preserve">.000 annui e sono rappresentate principalmente da locazione degli </w:t>
      </w:r>
      <w:r w:rsidRPr="006C37D8">
        <w:rPr>
          <w:rFonts w:cs="Calibri"/>
          <w:noProof/>
        </w:rPr>
        <w:t xml:space="preserve">immobili (il </w:t>
      </w:r>
      <w:r w:rsidR="00FE6B6B">
        <w:rPr>
          <w:rFonts w:cs="Calibri"/>
          <w:noProof/>
        </w:rPr>
        <w:t>76</w:t>
      </w:r>
      <w:r w:rsidRPr="006C37D8">
        <w:rPr>
          <w:rFonts w:cs="Calibri"/>
          <w:noProof/>
        </w:rPr>
        <w:t>%)</w:t>
      </w:r>
      <w:r>
        <w:rPr>
          <w:rFonts w:cs="Calibri"/>
          <w:noProof/>
        </w:rPr>
        <w:t xml:space="preserve">. Occorre far notare che </w:t>
      </w:r>
      <w:r w:rsidR="00FE6B6B">
        <w:rPr>
          <w:rFonts w:cs="Calibri"/>
          <w:noProof/>
        </w:rPr>
        <w:t xml:space="preserve">nonostante </w:t>
      </w:r>
      <w:r>
        <w:rPr>
          <w:rFonts w:cs="Calibri"/>
          <w:noProof/>
        </w:rPr>
        <w:t>il trasferimento in nuova sede</w:t>
      </w:r>
      <w:r w:rsidR="00FE6B6B">
        <w:rPr>
          <w:rFonts w:cs="Calibri"/>
          <w:noProof/>
        </w:rPr>
        <w:t>,</w:t>
      </w:r>
      <w:r>
        <w:rPr>
          <w:rFonts w:cs="Calibri"/>
          <w:noProof/>
        </w:rPr>
        <w:t xml:space="preserve"> il pagamento dell’affitto </w:t>
      </w:r>
      <w:r w:rsidR="00FE6B6B">
        <w:rPr>
          <w:rFonts w:cs="Calibri"/>
          <w:noProof/>
        </w:rPr>
        <w:t xml:space="preserve">del </w:t>
      </w:r>
      <w:r>
        <w:rPr>
          <w:rFonts w:cs="Calibri"/>
          <w:noProof/>
        </w:rPr>
        <w:t xml:space="preserve">nuovo immobile </w:t>
      </w:r>
      <w:r w:rsidR="00FE6B6B">
        <w:rPr>
          <w:rFonts w:cs="Calibri"/>
          <w:noProof/>
        </w:rPr>
        <w:t>non ha subito grandi variazioni</w:t>
      </w:r>
      <w:r>
        <w:rPr>
          <w:rFonts w:cs="Calibri"/>
          <w:noProof/>
        </w:rPr>
        <w:t>;</w:t>
      </w:r>
    </w:p>
    <w:p w:rsidR="001F65B1" w:rsidRPr="00FE6B6B" w:rsidRDefault="001F65B1" w:rsidP="001F65B1">
      <w:pPr>
        <w:numPr>
          <w:ilvl w:val="0"/>
          <w:numId w:val="22"/>
        </w:numPr>
        <w:autoSpaceDE w:val="0"/>
        <w:autoSpaceDN w:val="0"/>
        <w:adjustRightInd w:val="0"/>
        <w:rPr>
          <w:rFonts w:cs="Calibri"/>
          <w:noProof/>
        </w:rPr>
      </w:pPr>
      <w:r w:rsidRPr="00FE6B6B">
        <w:rPr>
          <w:rFonts w:cs="Calibri"/>
          <w:noProof/>
        </w:rPr>
        <w:t xml:space="preserve">le </w:t>
      </w:r>
      <w:r w:rsidRPr="00FE6B6B">
        <w:rPr>
          <w:rFonts w:cs="Calibri"/>
          <w:b/>
          <w:noProof/>
        </w:rPr>
        <w:t xml:space="preserve">spese </w:t>
      </w:r>
      <w:r w:rsidR="00FE6B6B" w:rsidRPr="00FE6B6B">
        <w:rPr>
          <w:rFonts w:cs="Calibri"/>
          <w:b/>
          <w:noProof/>
        </w:rPr>
        <w:t>intermedie</w:t>
      </w:r>
      <w:r w:rsidRPr="00FE6B6B">
        <w:rPr>
          <w:rFonts w:cs="Calibri"/>
          <w:noProof/>
        </w:rPr>
        <w:t xml:space="preserve"> </w:t>
      </w:r>
      <w:r w:rsidRPr="00FE6B6B">
        <w:rPr>
          <w:rFonts w:cs="Calibri"/>
          <w:b/>
          <w:noProof/>
        </w:rPr>
        <w:t>(</w:t>
      </w:r>
      <w:r w:rsidR="00FE6B6B" w:rsidRPr="00FE6B6B">
        <w:rPr>
          <w:rFonts w:cs="Calibri"/>
          <w:b/>
          <w:noProof/>
        </w:rPr>
        <w:t>10</w:t>
      </w:r>
      <w:r w:rsidRPr="00FE6B6B">
        <w:rPr>
          <w:rFonts w:cs="Calibri"/>
          <w:b/>
          <w:noProof/>
        </w:rPr>
        <w:t>% del totale)</w:t>
      </w:r>
      <w:r w:rsidRPr="00FE6B6B">
        <w:rPr>
          <w:rFonts w:cs="Calibri"/>
          <w:noProof/>
        </w:rPr>
        <w:t xml:space="preserve"> hanno poi un impatto poco rilevante ai fini del bilancio economico. </w:t>
      </w:r>
      <w:r w:rsidR="00D66A1D">
        <w:rPr>
          <w:rFonts w:cs="Calibri"/>
          <w:noProof/>
        </w:rPr>
        <w:t>Non</w:t>
      </w:r>
      <w:r w:rsidRPr="00FE6B6B">
        <w:rPr>
          <w:rFonts w:cs="Calibri"/>
          <w:noProof/>
        </w:rPr>
        <w:t xml:space="preserve"> </w:t>
      </w:r>
      <w:r w:rsidR="00D66A1D">
        <w:rPr>
          <w:rFonts w:cs="Calibri"/>
          <w:noProof/>
        </w:rPr>
        <w:t xml:space="preserve">si </w:t>
      </w:r>
      <w:r w:rsidRPr="00FE6B6B">
        <w:rPr>
          <w:rFonts w:cs="Calibri"/>
          <w:noProof/>
        </w:rPr>
        <w:t>registra</w:t>
      </w:r>
      <w:r w:rsidR="00D66A1D">
        <w:rPr>
          <w:rFonts w:cs="Calibri"/>
          <w:noProof/>
        </w:rPr>
        <w:t>no</w:t>
      </w:r>
      <w:r w:rsidRPr="00FE6B6B">
        <w:rPr>
          <w:rFonts w:cs="Calibri"/>
          <w:noProof/>
        </w:rPr>
        <w:t xml:space="preserve"> comunque, nel </w:t>
      </w:r>
      <w:r w:rsidR="00FE6B6B">
        <w:rPr>
          <w:rFonts w:cs="Calibri"/>
          <w:noProof/>
        </w:rPr>
        <w:t>quadriennio</w:t>
      </w:r>
      <w:r w:rsidRPr="00FE6B6B">
        <w:rPr>
          <w:rFonts w:cs="Calibri"/>
          <w:noProof/>
        </w:rPr>
        <w:t xml:space="preserve"> in esame, </w:t>
      </w:r>
      <w:r w:rsidR="00D66A1D">
        <w:rPr>
          <w:rFonts w:cs="Calibri"/>
          <w:noProof/>
        </w:rPr>
        <w:t>particolari variazioni di tali spese.</w:t>
      </w:r>
    </w:p>
    <w:p w:rsidR="008A6512" w:rsidRDefault="008A6512" w:rsidP="008A6512">
      <w:pPr>
        <w:spacing w:line="360" w:lineRule="auto"/>
        <w:rPr>
          <w:rFonts w:asciiTheme="minorHAnsi" w:hAnsiTheme="minorHAnsi" w:cstheme="minorHAnsi"/>
          <w:szCs w:val="24"/>
        </w:rPr>
      </w:pPr>
    </w:p>
    <w:p w:rsidR="008A6512" w:rsidRPr="008A6512" w:rsidRDefault="005E0279" w:rsidP="008A6512">
      <w:pPr>
        <w:spacing w:line="360" w:lineRule="auto"/>
        <w:rPr>
          <w:rFonts w:asciiTheme="minorHAnsi" w:hAnsiTheme="minorHAnsi" w:cstheme="minorHAnsi"/>
        </w:rPr>
      </w:pPr>
      <w:r w:rsidRPr="00485DA8">
        <w:rPr>
          <w:rFonts w:cs="Calibri"/>
        </w:rPr>
        <w:br w:type="page"/>
      </w:r>
    </w:p>
    <w:p w:rsidR="00CD5D56" w:rsidRPr="00D66A1D" w:rsidRDefault="00903D9E" w:rsidP="004C1469">
      <w:pPr>
        <w:pStyle w:val="Heading1"/>
        <w:numPr>
          <w:ilvl w:val="0"/>
          <w:numId w:val="1"/>
        </w:numPr>
        <w:ind w:left="426" w:hanging="426"/>
      </w:pPr>
      <w:bookmarkStart w:id="22" w:name="_Toc367713339"/>
      <w:r w:rsidRPr="00D66A1D">
        <w:lastRenderedPageBreak/>
        <w:t>MAPPA DEGLI STAKEHOLDER</w:t>
      </w:r>
      <w:bookmarkEnd w:id="22"/>
    </w:p>
    <w:p w:rsidR="00204B74" w:rsidRDefault="00204B74" w:rsidP="004C1469">
      <w:pPr>
        <w:pStyle w:val="Heading2"/>
        <w:numPr>
          <w:ilvl w:val="1"/>
          <w:numId w:val="1"/>
        </w:numPr>
        <w:spacing w:after="240"/>
        <w:ind w:left="567" w:hanging="567"/>
      </w:pPr>
      <w:bookmarkStart w:id="23" w:name="_Toc357594308"/>
      <w:bookmarkStart w:id="24" w:name="_Toc367713340"/>
      <w:r>
        <w:t>Individuazione dei principali stakeholder</w:t>
      </w:r>
      <w:bookmarkEnd w:id="23"/>
      <w:bookmarkEnd w:id="24"/>
    </w:p>
    <w:p w:rsidR="00204B74" w:rsidRDefault="00204B74" w:rsidP="00204B74">
      <w:pPr>
        <w:spacing w:after="0" w:line="360" w:lineRule="auto"/>
      </w:pPr>
      <w:r>
        <w:t xml:space="preserve">I servizi di giustizia, oggi più che mai, sono un fattore strategico di sviluppo locale: di attrazione di investimenti, di sicurezza e benessere. Al loro buon funzionamento sono interessati cittadini, imprese, associazioni e istituzioni. Il Giudice di Pace di Vicenza è quindi inserito in un denso reticolo relazionale popolato da diversi e numerosi interlocutori. Con alcuni di essi l’interdipendenza funzionale è così elevata che è impensabile un miglioramento dei servizi di giustizia senza un’azione congiunta. </w:t>
      </w:r>
    </w:p>
    <w:p w:rsidR="00204B74" w:rsidRDefault="00204B74" w:rsidP="00204B74">
      <w:pPr>
        <w:spacing w:after="0" w:line="360" w:lineRule="auto"/>
      </w:pPr>
      <w:r>
        <w:t xml:space="preserve">L’individuazione degli interlocutori rilevanti, quindi, è la prima tappa di un percorso volto a definire delle strategie di intervento comune e l’attivazione di un Tavolo provinciale della Giustizia. </w:t>
      </w:r>
    </w:p>
    <w:p w:rsidR="00204B74" w:rsidRDefault="00204B74" w:rsidP="00204B74">
      <w:pPr>
        <w:spacing w:line="360" w:lineRule="auto"/>
      </w:pPr>
      <w:r>
        <w:t xml:space="preserve">A fini descrittivi, gli interlocutori possono essere suddivisi in alcune macro categorie che rappresentano anche specifiche modalità relazionali. </w:t>
      </w:r>
    </w:p>
    <w:p w:rsidR="00204B74" w:rsidRDefault="00204B74" w:rsidP="004C1469">
      <w:pPr>
        <w:pStyle w:val="ListParagraph"/>
        <w:widowControl w:val="0"/>
        <w:numPr>
          <w:ilvl w:val="0"/>
          <w:numId w:val="14"/>
        </w:numPr>
        <w:autoSpaceDN w:val="0"/>
        <w:adjustRightInd w:val="0"/>
        <w:spacing w:before="120" w:after="60" w:line="360" w:lineRule="auto"/>
      </w:pPr>
      <w:r w:rsidRPr="003C39C7">
        <w:rPr>
          <w:b/>
          <w:bCs/>
        </w:rPr>
        <w:t>Interlocutori interni</w:t>
      </w:r>
      <w:r>
        <w:t>, soggetti di cui è costituito l’Ufficio giudiziario, suddivisi in due grandi categorie professionali:</w:t>
      </w:r>
    </w:p>
    <w:p w:rsidR="00204B74" w:rsidRDefault="00310A75" w:rsidP="004C1469">
      <w:pPr>
        <w:widowControl w:val="0"/>
        <w:numPr>
          <w:ilvl w:val="1"/>
          <w:numId w:val="12"/>
        </w:numPr>
        <w:autoSpaceDN w:val="0"/>
        <w:adjustRightInd w:val="0"/>
        <w:spacing w:after="0" w:line="360" w:lineRule="auto"/>
        <w:ind w:left="567" w:hanging="283"/>
      </w:pPr>
      <w:r>
        <w:t>Giudici</w:t>
      </w:r>
    </w:p>
    <w:p w:rsidR="00204B74" w:rsidRDefault="00204B74" w:rsidP="004C1469">
      <w:pPr>
        <w:widowControl w:val="0"/>
        <w:numPr>
          <w:ilvl w:val="1"/>
          <w:numId w:val="12"/>
        </w:numPr>
        <w:autoSpaceDN w:val="0"/>
        <w:adjustRightInd w:val="0"/>
        <w:spacing w:after="0" w:line="360" w:lineRule="auto"/>
        <w:ind w:left="567" w:hanging="283"/>
      </w:pPr>
      <w:r>
        <w:t xml:space="preserve">Personale delle cancellerie e altro personale amministrativo </w:t>
      </w:r>
    </w:p>
    <w:p w:rsidR="00204B74" w:rsidRPr="003C39C7" w:rsidRDefault="00204B74" w:rsidP="004C1469">
      <w:pPr>
        <w:pStyle w:val="ListParagraph"/>
        <w:widowControl w:val="0"/>
        <w:numPr>
          <w:ilvl w:val="0"/>
          <w:numId w:val="14"/>
        </w:numPr>
        <w:autoSpaceDN w:val="0"/>
        <w:adjustRightInd w:val="0"/>
        <w:spacing w:before="120" w:after="60" w:line="360" w:lineRule="auto"/>
        <w:rPr>
          <w:b/>
          <w:bCs/>
        </w:rPr>
      </w:pPr>
      <w:r w:rsidRPr="003C39C7">
        <w:rPr>
          <w:b/>
          <w:bCs/>
        </w:rPr>
        <w:t>Interlocutori intermedi</w:t>
      </w:r>
      <w:r w:rsidRPr="003C39C7">
        <w:rPr>
          <w:bCs/>
        </w:rPr>
        <w:t>, soggetti che partecipano in veste di ausiliari del giudice o collaboratori del personale amministrativo quali:</w:t>
      </w:r>
    </w:p>
    <w:p w:rsidR="00204B74" w:rsidRDefault="00204B74" w:rsidP="004C1469">
      <w:pPr>
        <w:widowControl w:val="0"/>
        <w:numPr>
          <w:ilvl w:val="1"/>
          <w:numId w:val="12"/>
        </w:numPr>
        <w:autoSpaceDN w:val="0"/>
        <w:adjustRightInd w:val="0"/>
        <w:spacing w:after="0" w:line="360" w:lineRule="auto"/>
        <w:ind w:left="567" w:hanging="283"/>
      </w:pPr>
      <w:r>
        <w:t>Consulenti tecnici di ufficio</w:t>
      </w:r>
    </w:p>
    <w:p w:rsidR="00204B74" w:rsidRDefault="00204B74" w:rsidP="004C1469">
      <w:pPr>
        <w:widowControl w:val="0"/>
        <w:numPr>
          <w:ilvl w:val="1"/>
          <w:numId w:val="12"/>
        </w:numPr>
        <w:autoSpaceDN w:val="0"/>
        <w:adjustRightInd w:val="0"/>
        <w:spacing w:after="0" w:line="360" w:lineRule="auto"/>
        <w:ind w:left="567" w:hanging="283"/>
      </w:pPr>
      <w:r>
        <w:t>Periti</w:t>
      </w:r>
    </w:p>
    <w:p w:rsidR="00204B74" w:rsidRDefault="00204B74" w:rsidP="004C1469">
      <w:pPr>
        <w:widowControl w:val="0"/>
        <w:numPr>
          <w:ilvl w:val="1"/>
          <w:numId w:val="12"/>
        </w:numPr>
        <w:autoSpaceDN w:val="0"/>
        <w:adjustRightInd w:val="0"/>
        <w:spacing w:after="0" w:line="360" w:lineRule="auto"/>
        <w:ind w:left="567" w:hanging="283"/>
      </w:pPr>
      <w:r>
        <w:t>UNEP (ufficiali giudiziari)</w:t>
      </w:r>
    </w:p>
    <w:p w:rsidR="00204B74" w:rsidRPr="003C39C7" w:rsidRDefault="00204B74" w:rsidP="004C1469">
      <w:pPr>
        <w:pStyle w:val="ListParagraph"/>
        <w:widowControl w:val="0"/>
        <w:numPr>
          <w:ilvl w:val="0"/>
          <w:numId w:val="14"/>
        </w:numPr>
        <w:autoSpaceDN w:val="0"/>
        <w:adjustRightInd w:val="0"/>
        <w:spacing w:before="120" w:after="60" w:line="360" w:lineRule="auto"/>
        <w:rPr>
          <w:bCs/>
        </w:rPr>
      </w:pPr>
      <w:r>
        <w:rPr>
          <w:b/>
          <w:bCs/>
        </w:rPr>
        <w:t>Interlocutori esterni</w:t>
      </w:r>
      <w:r w:rsidRPr="003C39C7">
        <w:rPr>
          <w:bCs/>
        </w:rPr>
        <w:t>, soggetti pubblici e privati che hanno un interdipendenza funzionale rilevante rispetto all’Ufficio giudiziario:</w:t>
      </w:r>
    </w:p>
    <w:p w:rsidR="00204B74" w:rsidRDefault="00204B74" w:rsidP="004C1469">
      <w:pPr>
        <w:widowControl w:val="0"/>
        <w:numPr>
          <w:ilvl w:val="1"/>
          <w:numId w:val="13"/>
        </w:numPr>
        <w:autoSpaceDN w:val="0"/>
        <w:adjustRightInd w:val="0"/>
        <w:spacing w:before="60" w:after="0" w:line="360" w:lineRule="auto"/>
        <w:ind w:left="568" w:hanging="284"/>
      </w:pPr>
      <w:r>
        <w:t>Sistema Giustizia: articolato negli altri Uffici giudiziari del Distretto di Corte d’Appello</w:t>
      </w:r>
      <w:r>
        <w:rPr>
          <w:rStyle w:val="FootnoteReference"/>
          <w:vertAlign w:val="superscript"/>
        </w:rPr>
        <w:footnoteReference w:id="2"/>
      </w:r>
      <w:r>
        <w:t xml:space="preserve"> e negli organismi di livello superiore: Consiglio Superiore della Magistratura, Corte di Cassazione, Ministero della Giustizia;</w:t>
      </w:r>
    </w:p>
    <w:p w:rsidR="00204B74" w:rsidRDefault="00204B74" w:rsidP="004C1469">
      <w:pPr>
        <w:widowControl w:val="0"/>
        <w:numPr>
          <w:ilvl w:val="1"/>
          <w:numId w:val="13"/>
        </w:numPr>
        <w:autoSpaceDN w:val="0"/>
        <w:adjustRightInd w:val="0"/>
        <w:spacing w:before="60" w:after="0" w:line="360" w:lineRule="auto"/>
        <w:ind w:left="568" w:hanging="284"/>
      </w:pPr>
      <w:r>
        <w:t xml:space="preserve">Altre Amministrazioni Statali, centrali e periferiche: Ministeri, Prefettura, Questura, Forze </w:t>
      </w:r>
      <w:r>
        <w:lastRenderedPageBreak/>
        <w:t>dell’Ordine, Agenzia delle Entrate, ecc.;</w:t>
      </w:r>
    </w:p>
    <w:p w:rsidR="00204B74" w:rsidRDefault="00204B74" w:rsidP="004C1469">
      <w:pPr>
        <w:widowControl w:val="0"/>
        <w:numPr>
          <w:ilvl w:val="1"/>
          <w:numId w:val="13"/>
        </w:numPr>
        <w:autoSpaceDN w:val="0"/>
        <w:adjustRightInd w:val="0"/>
        <w:spacing w:before="60" w:after="0" w:line="360" w:lineRule="auto"/>
        <w:ind w:left="567" w:hanging="283"/>
      </w:pPr>
      <w:r>
        <w:t>Attori del procedimento giudiziario: indagati, imputati, parti in causa, testimoni, ecc.;</w:t>
      </w:r>
    </w:p>
    <w:p w:rsidR="00204B74" w:rsidRDefault="00204B74" w:rsidP="004C1469">
      <w:pPr>
        <w:widowControl w:val="0"/>
        <w:numPr>
          <w:ilvl w:val="1"/>
          <w:numId w:val="13"/>
        </w:numPr>
        <w:autoSpaceDN w:val="0"/>
        <w:adjustRightInd w:val="0"/>
        <w:spacing w:before="60" w:after="0" w:line="360" w:lineRule="auto"/>
        <w:ind w:left="567" w:hanging="283"/>
      </w:pPr>
      <w:r>
        <w:t>Cittadini, sia come residenti nel territorio di riferimento che come utenti dei servizi del Giudice di Pace;</w:t>
      </w:r>
    </w:p>
    <w:p w:rsidR="00204B74" w:rsidRDefault="00204B74" w:rsidP="004C1469">
      <w:pPr>
        <w:widowControl w:val="0"/>
        <w:numPr>
          <w:ilvl w:val="1"/>
          <w:numId w:val="13"/>
        </w:numPr>
        <w:autoSpaceDN w:val="0"/>
        <w:adjustRightInd w:val="0"/>
        <w:spacing w:before="60" w:after="0" w:line="360" w:lineRule="auto"/>
        <w:ind w:left="568" w:hanging="284"/>
      </w:pPr>
      <w:r>
        <w:t>Ordini professionali (Avvocati, Notai, Commercialisti, ecc..);</w:t>
      </w:r>
    </w:p>
    <w:p w:rsidR="00204B74" w:rsidRDefault="00204B74" w:rsidP="004C1469">
      <w:pPr>
        <w:widowControl w:val="0"/>
        <w:numPr>
          <w:ilvl w:val="1"/>
          <w:numId w:val="13"/>
        </w:numPr>
        <w:autoSpaceDN w:val="0"/>
        <w:adjustRightInd w:val="0"/>
        <w:spacing w:before="60" w:after="0" w:line="360" w:lineRule="auto"/>
        <w:ind w:left="568" w:hanging="284"/>
      </w:pPr>
      <w:r>
        <w:t>Amministrazioni locali: Comuni, Comunità montane, Forme associative intercomunali, Aziende Sanitarie Locali, Camera di Commercio, Provincia, Regione.</w:t>
      </w:r>
    </w:p>
    <w:p w:rsidR="00204B74" w:rsidRDefault="00204B74" w:rsidP="004C1469">
      <w:pPr>
        <w:widowControl w:val="0"/>
        <w:numPr>
          <w:ilvl w:val="1"/>
          <w:numId w:val="11"/>
        </w:numPr>
        <w:autoSpaceDN w:val="0"/>
        <w:adjustRightInd w:val="0"/>
        <w:spacing w:before="60" w:after="0" w:line="360" w:lineRule="auto"/>
        <w:ind w:left="568" w:hanging="284"/>
      </w:pPr>
      <w:r>
        <w:t>Università e Scuole di specializzazione;</w:t>
      </w:r>
    </w:p>
    <w:p w:rsidR="00204B74" w:rsidRDefault="00204B74" w:rsidP="004C1469">
      <w:pPr>
        <w:widowControl w:val="0"/>
        <w:numPr>
          <w:ilvl w:val="1"/>
          <w:numId w:val="11"/>
        </w:numPr>
        <w:autoSpaceDN w:val="0"/>
        <w:adjustRightInd w:val="0"/>
        <w:spacing w:before="60" w:after="0" w:line="360" w:lineRule="auto"/>
        <w:ind w:left="568" w:hanging="284"/>
      </w:pPr>
      <w:r>
        <w:t>Fornitori di beni e servizi (es. IVG, ANPE, Vigilanza ecc.);</w:t>
      </w:r>
    </w:p>
    <w:p w:rsidR="00204B74" w:rsidRDefault="00204B74" w:rsidP="004C1469">
      <w:pPr>
        <w:widowControl w:val="0"/>
        <w:numPr>
          <w:ilvl w:val="1"/>
          <w:numId w:val="11"/>
        </w:numPr>
        <w:autoSpaceDN w:val="0"/>
        <w:adjustRightInd w:val="0"/>
        <w:spacing w:before="60" w:after="0" w:line="360" w:lineRule="auto"/>
        <w:ind w:left="568" w:hanging="284"/>
      </w:pPr>
      <w:r>
        <w:t>Associazioni della società civile con le quali è stata avviata collaborazione;</w:t>
      </w:r>
    </w:p>
    <w:p w:rsidR="00204B74" w:rsidRDefault="00204B74" w:rsidP="004C1469">
      <w:pPr>
        <w:widowControl w:val="0"/>
        <w:numPr>
          <w:ilvl w:val="1"/>
          <w:numId w:val="11"/>
        </w:numPr>
        <w:autoSpaceDN w:val="0"/>
        <w:adjustRightInd w:val="0"/>
        <w:spacing w:before="60" w:after="0" w:line="360" w:lineRule="auto"/>
        <w:ind w:left="568" w:hanging="284"/>
      </w:pPr>
      <w:r>
        <w:t>Mass media locali;</w:t>
      </w:r>
    </w:p>
    <w:p w:rsidR="00204B74" w:rsidRDefault="00204B74" w:rsidP="004C1469">
      <w:pPr>
        <w:widowControl w:val="0"/>
        <w:numPr>
          <w:ilvl w:val="1"/>
          <w:numId w:val="11"/>
        </w:numPr>
        <w:autoSpaceDN w:val="0"/>
        <w:adjustRightInd w:val="0"/>
        <w:spacing w:before="60" w:after="0" w:line="360" w:lineRule="auto"/>
        <w:ind w:left="567" w:hanging="283"/>
      </w:pPr>
      <w:r>
        <w:t>Rappresentanti politici eletti nelle istituzioni rappresentative.</w:t>
      </w:r>
    </w:p>
    <w:p w:rsidR="00204B74" w:rsidRDefault="00204B74" w:rsidP="00204B74">
      <w:pPr>
        <w:spacing w:before="240" w:line="360" w:lineRule="auto"/>
      </w:pPr>
      <w:r w:rsidRPr="00E90BB7">
        <w:t>Nell’ambito del percorso di predisposizione del BRS, in questa prima fase, è stato intrapreso un dialogo volto a delineare congiuntamente le politiche con i principali interlocutori: il Tribunale Ordinario di Vicenza e la Procura della Repubblica di Vicenza, l’Ordine degli Avvocati di Vicenza, la Prefettura di Vicenza, la Questura di Vicenza e la Polizia Locale.</w:t>
      </w:r>
    </w:p>
    <w:p w:rsidR="00204B74" w:rsidRPr="0055665D" w:rsidRDefault="00204B74" w:rsidP="0055665D">
      <w:pPr>
        <w:pStyle w:val="Caption"/>
        <w:spacing w:after="0" w:line="360" w:lineRule="auto"/>
        <w:rPr>
          <w:rFonts w:asciiTheme="minorHAnsi" w:eastAsia="Times New Roman" w:hAnsiTheme="minorHAnsi" w:cstheme="minorHAnsi"/>
          <w:bCs w:val="0"/>
          <w:i w:val="0"/>
          <w:noProof/>
          <w:szCs w:val="22"/>
          <w:lang w:eastAsia="it-IT"/>
        </w:rPr>
      </w:pPr>
      <w:bookmarkStart w:id="25" w:name="_Toc367703951"/>
      <w:r w:rsidRPr="0055665D">
        <w:rPr>
          <w:rFonts w:asciiTheme="minorHAnsi" w:eastAsia="Times New Roman" w:hAnsiTheme="minorHAnsi" w:cstheme="minorHAnsi"/>
          <w:bCs w:val="0"/>
          <w:i w:val="0"/>
          <w:noProof/>
          <w:szCs w:val="22"/>
          <w:lang w:eastAsia="it-IT"/>
        </w:rPr>
        <w:t xml:space="preserve">Figura </w:t>
      </w:r>
      <w:r w:rsidR="007C1E4D" w:rsidRPr="0055665D">
        <w:rPr>
          <w:rFonts w:asciiTheme="minorHAnsi" w:eastAsia="Times New Roman" w:hAnsiTheme="minorHAnsi" w:cstheme="minorHAnsi"/>
          <w:bCs w:val="0"/>
          <w:i w:val="0"/>
          <w:noProof/>
          <w:szCs w:val="22"/>
          <w:lang w:eastAsia="it-IT"/>
        </w:rPr>
        <w:fldChar w:fldCharType="begin"/>
      </w:r>
      <w:r w:rsidR="00EB7068" w:rsidRPr="0055665D">
        <w:rPr>
          <w:rFonts w:asciiTheme="minorHAnsi" w:eastAsia="Times New Roman" w:hAnsiTheme="minorHAnsi" w:cstheme="minorHAnsi"/>
          <w:bCs w:val="0"/>
          <w:i w:val="0"/>
          <w:noProof/>
          <w:szCs w:val="22"/>
          <w:lang w:eastAsia="it-IT"/>
        </w:rPr>
        <w:instrText xml:space="preserve"> SEQ Figura \* ARABIC </w:instrText>
      </w:r>
      <w:r w:rsidR="007C1E4D" w:rsidRPr="0055665D">
        <w:rPr>
          <w:rFonts w:asciiTheme="minorHAnsi" w:eastAsia="Times New Roman" w:hAnsiTheme="minorHAnsi" w:cstheme="minorHAnsi"/>
          <w:bCs w:val="0"/>
          <w:i w:val="0"/>
          <w:noProof/>
          <w:szCs w:val="22"/>
          <w:lang w:eastAsia="it-IT"/>
        </w:rPr>
        <w:fldChar w:fldCharType="separate"/>
      </w:r>
      <w:r w:rsidR="00BC4790">
        <w:rPr>
          <w:rFonts w:asciiTheme="minorHAnsi" w:eastAsia="Times New Roman" w:hAnsiTheme="minorHAnsi" w:cstheme="minorHAnsi"/>
          <w:bCs w:val="0"/>
          <w:i w:val="0"/>
          <w:noProof/>
          <w:szCs w:val="22"/>
          <w:lang w:eastAsia="it-IT"/>
        </w:rPr>
        <w:t>7</w:t>
      </w:r>
      <w:r w:rsidR="007C1E4D" w:rsidRPr="0055665D">
        <w:rPr>
          <w:rFonts w:asciiTheme="minorHAnsi" w:eastAsia="Times New Roman" w:hAnsiTheme="minorHAnsi" w:cstheme="minorHAnsi"/>
          <w:bCs w:val="0"/>
          <w:i w:val="0"/>
          <w:noProof/>
          <w:szCs w:val="22"/>
          <w:lang w:eastAsia="it-IT"/>
        </w:rPr>
        <w:fldChar w:fldCharType="end"/>
      </w:r>
      <w:r w:rsidRPr="0055665D">
        <w:rPr>
          <w:rFonts w:asciiTheme="minorHAnsi" w:eastAsia="Times New Roman" w:hAnsiTheme="minorHAnsi" w:cstheme="minorHAnsi"/>
          <w:bCs w:val="0"/>
          <w:i w:val="0"/>
          <w:noProof/>
          <w:szCs w:val="22"/>
          <w:lang w:eastAsia="it-IT"/>
        </w:rPr>
        <w:t xml:space="preserve"> – Principali stakeholder</w:t>
      </w:r>
      <w:bookmarkEnd w:id="25"/>
    </w:p>
    <w:p w:rsidR="00204B74" w:rsidRDefault="00204B74" w:rsidP="00204B74">
      <w:pPr>
        <w:keepNext/>
        <w:spacing w:line="360" w:lineRule="auto"/>
        <w:jc w:val="center"/>
      </w:pPr>
      <w:r>
        <w:rPr>
          <w:noProof/>
        </w:rPr>
        <w:drawing>
          <wp:inline distT="0" distB="0" distL="0" distR="0">
            <wp:extent cx="4200525" cy="2142725"/>
            <wp:effectExtent l="19050" t="0" r="9525" b="0"/>
            <wp:docPr id="3" name="Picture 2" descr="C:\Documents and Settings\andrea.chiavetta\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drea.chiavetta\Desktop\Picture1.png"/>
                    <pic:cNvPicPr>
                      <a:picLocks noChangeAspect="1" noChangeArrowheads="1"/>
                    </pic:cNvPicPr>
                  </pic:nvPicPr>
                  <pic:blipFill>
                    <a:blip r:embed="rId22"/>
                    <a:srcRect/>
                    <a:stretch>
                      <a:fillRect/>
                    </a:stretch>
                  </pic:blipFill>
                  <pic:spPr bwMode="auto">
                    <a:xfrm>
                      <a:off x="0" y="0"/>
                      <a:ext cx="4200525" cy="2142725"/>
                    </a:xfrm>
                    <a:prstGeom prst="rect">
                      <a:avLst/>
                    </a:prstGeom>
                    <a:noFill/>
                    <a:ln w="9525">
                      <a:noFill/>
                      <a:miter lim="800000"/>
                      <a:headEnd/>
                      <a:tailEnd/>
                    </a:ln>
                  </pic:spPr>
                </pic:pic>
              </a:graphicData>
            </a:graphic>
          </wp:inline>
        </w:drawing>
      </w:r>
    </w:p>
    <w:p w:rsidR="00204B74" w:rsidRPr="00204B74" w:rsidRDefault="00204B74" w:rsidP="00204B74">
      <w:pPr>
        <w:spacing w:line="360" w:lineRule="auto"/>
      </w:pPr>
      <w:r>
        <w:t>In seguito potranno essere avviati contatti anche con altri interlocutori rilevanti.</w:t>
      </w:r>
      <w:bookmarkStart w:id="26" w:name="_Toc357594309"/>
    </w:p>
    <w:p w:rsidR="00204B74" w:rsidRPr="00326A6D" w:rsidRDefault="00204B74" w:rsidP="004C1469">
      <w:pPr>
        <w:pStyle w:val="Heading2"/>
        <w:numPr>
          <w:ilvl w:val="1"/>
          <w:numId w:val="1"/>
        </w:numPr>
        <w:spacing w:after="240" w:line="360" w:lineRule="auto"/>
        <w:ind w:left="567" w:hanging="567"/>
      </w:pPr>
      <w:bookmarkStart w:id="27" w:name="_Toc367713341"/>
      <w:r w:rsidRPr="00326A6D">
        <w:lastRenderedPageBreak/>
        <w:t>Matrice di pianificazione sociale</w:t>
      </w:r>
      <w:bookmarkEnd w:id="26"/>
      <w:bookmarkEnd w:id="27"/>
    </w:p>
    <w:p w:rsidR="00204B74" w:rsidRPr="00D66A1D" w:rsidRDefault="00204B74" w:rsidP="00204B74">
      <w:pPr>
        <w:spacing w:line="360" w:lineRule="auto"/>
        <w:rPr>
          <w:szCs w:val="24"/>
        </w:rPr>
      </w:pPr>
      <w:r>
        <w:t xml:space="preserve">Coerentemente con l’impostazione metodologica del BRS, che prevede l’utilizzo della matrice della pianificazione strategica, di seguito si passano in rassegna le politiche del Giudice di Pace di Vicenza </w:t>
      </w:r>
      <w:r w:rsidR="00C34E63">
        <w:t>sviluppate</w:t>
      </w:r>
      <w:r>
        <w:t>, dando indicazione degli obiettivi raggiunti</w:t>
      </w:r>
      <w:r w:rsidRPr="00D66A1D">
        <w:rPr>
          <w:szCs w:val="24"/>
        </w:rPr>
        <w:t xml:space="preserve"> e delle azioni previste, nonché degli interlocutori coinvolti sia interni che esterni.</w:t>
      </w:r>
    </w:p>
    <w:p w:rsidR="00204B74" w:rsidRPr="00D66A1D" w:rsidRDefault="00204B74" w:rsidP="00204B74">
      <w:pPr>
        <w:spacing w:line="360" w:lineRule="auto"/>
        <w:rPr>
          <w:szCs w:val="24"/>
        </w:rPr>
      </w:pPr>
      <w:r w:rsidRPr="00D66A1D">
        <w:rPr>
          <w:szCs w:val="24"/>
        </w:rPr>
        <w:t xml:space="preserve">Le azioni programmate dall’Ufficio in collaborazione con i propri stakeholder possono essere ricondotte a tre </w:t>
      </w:r>
      <w:proofErr w:type="spellStart"/>
      <w:r w:rsidRPr="00D66A1D">
        <w:rPr>
          <w:szCs w:val="24"/>
        </w:rPr>
        <w:t>macropolitiche</w:t>
      </w:r>
      <w:proofErr w:type="spellEnd"/>
      <w:r w:rsidRPr="00D66A1D">
        <w:rPr>
          <w:szCs w:val="24"/>
        </w:rPr>
        <w:t xml:space="preserve">: </w:t>
      </w:r>
    </w:p>
    <w:p w:rsidR="00204B74" w:rsidRPr="00D66A1D" w:rsidRDefault="00204B74" w:rsidP="004C1469">
      <w:pPr>
        <w:pStyle w:val="Bullet"/>
        <w:numPr>
          <w:ilvl w:val="0"/>
          <w:numId w:val="16"/>
        </w:numPr>
        <w:spacing w:line="360" w:lineRule="auto"/>
        <w:rPr>
          <w:bCs/>
          <w:sz w:val="24"/>
          <w:szCs w:val="24"/>
        </w:rPr>
      </w:pPr>
      <w:r w:rsidRPr="00D66A1D">
        <w:rPr>
          <w:b/>
          <w:bCs/>
          <w:sz w:val="24"/>
          <w:szCs w:val="24"/>
        </w:rPr>
        <w:t>miglioramento organizzativo</w:t>
      </w:r>
      <w:r w:rsidRPr="00D66A1D">
        <w:rPr>
          <w:bCs/>
          <w:sz w:val="24"/>
          <w:szCs w:val="24"/>
        </w:rPr>
        <w:t>, inerente ad azioni volte al recupero dell’efficienza e all’utilizzo ottimale delle risorse a disposizione;</w:t>
      </w:r>
    </w:p>
    <w:p w:rsidR="00204B74" w:rsidRPr="00D66A1D" w:rsidRDefault="00204B74" w:rsidP="004C1469">
      <w:pPr>
        <w:pStyle w:val="Bullet"/>
        <w:numPr>
          <w:ilvl w:val="0"/>
          <w:numId w:val="16"/>
        </w:numPr>
        <w:spacing w:line="360" w:lineRule="auto"/>
        <w:rPr>
          <w:bCs/>
          <w:sz w:val="24"/>
          <w:szCs w:val="24"/>
        </w:rPr>
      </w:pPr>
      <w:r w:rsidRPr="00D66A1D">
        <w:rPr>
          <w:b/>
          <w:bCs/>
          <w:sz w:val="24"/>
          <w:szCs w:val="24"/>
        </w:rPr>
        <w:t>miglioramento delle procedure informatiche</w:t>
      </w:r>
      <w:r w:rsidRPr="00D66A1D">
        <w:rPr>
          <w:bCs/>
          <w:sz w:val="24"/>
          <w:szCs w:val="24"/>
        </w:rPr>
        <w:t>, ovvero azioni che interessano lo snellimento delle procedure informatiche, la diffusione della trasmissione telematica dei dati tra Giudice di Pace ed utenti e un aumento della interoperabilità tra sistemi in uso;</w:t>
      </w:r>
    </w:p>
    <w:p w:rsidR="00204B74" w:rsidRPr="00F02455" w:rsidRDefault="00204B74" w:rsidP="004C1469">
      <w:pPr>
        <w:pStyle w:val="Bullet"/>
        <w:numPr>
          <w:ilvl w:val="0"/>
          <w:numId w:val="16"/>
        </w:numPr>
        <w:spacing w:line="360" w:lineRule="auto"/>
        <w:rPr>
          <w:bCs/>
        </w:rPr>
      </w:pPr>
      <w:r w:rsidRPr="00D66A1D">
        <w:rPr>
          <w:b/>
          <w:bCs/>
          <w:sz w:val="24"/>
          <w:szCs w:val="24"/>
        </w:rPr>
        <w:t>miglioramento dell’informazione</w:t>
      </w:r>
      <w:r w:rsidRPr="00D66A1D">
        <w:rPr>
          <w:bCs/>
          <w:sz w:val="24"/>
          <w:szCs w:val="24"/>
        </w:rPr>
        <w:t>, ossia azioni propedeutiche alla diffusione dei servizi erogati dall’Ufficio e modalità per usufruirne rapidamente e nel modo meno oneroso per l’Ufficio.</w:t>
      </w:r>
    </w:p>
    <w:p w:rsidR="00204B74" w:rsidRPr="00326A6D" w:rsidRDefault="00204B74" w:rsidP="00204B74">
      <w:pPr>
        <w:rPr>
          <w:rFonts w:eastAsia="Calibri"/>
          <w:b/>
          <w:color w:val="00B050"/>
          <w:u w:val="single"/>
        </w:rPr>
      </w:pPr>
      <w:bookmarkStart w:id="28" w:name="_Toc343701376"/>
      <w:r w:rsidRPr="00326A6D">
        <w:rPr>
          <w:rFonts w:eastAsia="Calibri"/>
          <w:b/>
          <w:color w:val="00B050"/>
          <w:u w:val="single"/>
        </w:rPr>
        <w:t>Miglioramento organizzativo</w:t>
      </w:r>
      <w:bookmarkEnd w:id="28"/>
    </w:p>
    <w:tbl>
      <w:tblPr>
        <w:tblW w:w="5215" w:type="pct"/>
        <w:jc w:val="center"/>
        <w:tblInd w:w="365" w:type="dxa"/>
        <w:tblBorders>
          <w:top w:val="dotted" w:sz="4" w:space="0" w:color="008000"/>
          <w:left w:val="dotted" w:sz="4" w:space="0" w:color="008000"/>
          <w:bottom w:val="dotted" w:sz="4" w:space="0" w:color="008000"/>
          <w:right w:val="dotted" w:sz="4" w:space="0" w:color="008000"/>
          <w:insideH w:val="dotted" w:sz="4" w:space="0" w:color="008000"/>
          <w:insideV w:val="dotted" w:sz="4" w:space="0" w:color="008000"/>
        </w:tblBorders>
        <w:tblLayout w:type="fixed"/>
        <w:tblCellMar>
          <w:left w:w="70" w:type="dxa"/>
          <w:right w:w="70" w:type="dxa"/>
        </w:tblCellMar>
        <w:tblLook w:val="04A0" w:firstRow="1" w:lastRow="0" w:firstColumn="1" w:lastColumn="0" w:noHBand="0" w:noVBand="1"/>
      </w:tblPr>
      <w:tblGrid>
        <w:gridCol w:w="2266"/>
        <w:gridCol w:w="2833"/>
        <w:gridCol w:w="2266"/>
        <w:gridCol w:w="2833"/>
      </w:tblGrid>
      <w:tr w:rsidR="004441F9" w:rsidRPr="00522DBF" w:rsidTr="004441F9">
        <w:trPr>
          <w:trHeight w:val="1134"/>
          <w:tblHeader/>
          <w:jc w:val="center"/>
        </w:trPr>
        <w:tc>
          <w:tcPr>
            <w:tcW w:w="1111" w:type="pct"/>
            <w:shd w:val="clear" w:color="auto" w:fill="008000"/>
            <w:vAlign w:val="center"/>
            <w:hideMark/>
          </w:tcPr>
          <w:p w:rsidR="00D66A1D" w:rsidRPr="007E4743" w:rsidRDefault="00D66A1D" w:rsidP="00D66A1D">
            <w:pPr>
              <w:spacing w:after="0" w:line="240" w:lineRule="auto"/>
              <w:jc w:val="center"/>
              <w:rPr>
                <w:rFonts w:cs="Arial"/>
                <w:b/>
                <w:bCs/>
                <w:color w:val="FFFFFF"/>
                <w:szCs w:val="28"/>
              </w:rPr>
            </w:pPr>
            <w:bookmarkStart w:id="29" w:name="OLE_LINK1"/>
            <w:r w:rsidRPr="007E4743">
              <w:rPr>
                <w:rFonts w:cs="Arial"/>
                <w:b/>
                <w:bCs/>
                <w:color w:val="FFFFFF"/>
                <w:szCs w:val="28"/>
              </w:rPr>
              <w:t>Stakeholder di riferimento</w:t>
            </w:r>
          </w:p>
        </w:tc>
        <w:tc>
          <w:tcPr>
            <w:tcW w:w="1389" w:type="pct"/>
            <w:shd w:val="clear" w:color="auto" w:fill="008000"/>
            <w:vAlign w:val="center"/>
          </w:tcPr>
          <w:p w:rsidR="00D66A1D" w:rsidRPr="007E4743" w:rsidRDefault="00D66A1D" w:rsidP="00D66A1D">
            <w:pPr>
              <w:spacing w:after="0" w:line="240" w:lineRule="auto"/>
              <w:jc w:val="center"/>
              <w:rPr>
                <w:rFonts w:cs="Arial"/>
                <w:b/>
                <w:bCs/>
                <w:color w:val="FFFFFF"/>
                <w:szCs w:val="28"/>
              </w:rPr>
            </w:pPr>
            <w:r w:rsidRPr="007E4743">
              <w:rPr>
                <w:rFonts w:cs="Arial"/>
                <w:b/>
                <w:bCs/>
                <w:color w:val="FFFFFF"/>
                <w:szCs w:val="28"/>
              </w:rPr>
              <w:t>Azione programmata</w:t>
            </w:r>
          </w:p>
        </w:tc>
        <w:tc>
          <w:tcPr>
            <w:tcW w:w="1111" w:type="pct"/>
            <w:shd w:val="clear" w:color="auto" w:fill="008000"/>
            <w:vAlign w:val="center"/>
          </w:tcPr>
          <w:p w:rsidR="00D66A1D" w:rsidRPr="00522DBF" w:rsidRDefault="00D66A1D" w:rsidP="00D66A1D">
            <w:pPr>
              <w:spacing w:after="0" w:line="240" w:lineRule="auto"/>
              <w:jc w:val="center"/>
              <w:rPr>
                <w:rFonts w:cs="Arial"/>
                <w:b/>
                <w:bCs/>
                <w:color w:val="FFFFFF"/>
                <w:szCs w:val="28"/>
              </w:rPr>
            </w:pPr>
            <w:r>
              <w:rPr>
                <w:rFonts w:cs="Arial"/>
                <w:b/>
                <w:bCs/>
                <w:color w:val="FFFFFF"/>
                <w:szCs w:val="28"/>
              </w:rPr>
              <w:t>Grado di raggiungimento</w:t>
            </w:r>
          </w:p>
        </w:tc>
        <w:tc>
          <w:tcPr>
            <w:tcW w:w="1389" w:type="pct"/>
            <w:shd w:val="clear" w:color="auto" w:fill="008000"/>
            <w:vAlign w:val="center"/>
          </w:tcPr>
          <w:p w:rsidR="00D66A1D" w:rsidRDefault="00D66A1D" w:rsidP="00D66A1D">
            <w:pPr>
              <w:spacing w:after="0" w:line="240" w:lineRule="auto"/>
              <w:jc w:val="center"/>
              <w:rPr>
                <w:rFonts w:cs="Arial"/>
                <w:b/>
                <w:bCs/>
                <w:color w:val="FFFFFF"/>
                <w:szCs w:val="28"/>
              </w:rPr>
            </w:pPr>
            <w:r>
              <w:rPr>
                <w:rFonts w:cs="Arial"/>
                <w:b/>
                <w:bCs/>
                <w:color w:val="FFFFFF"/>
                <w:szCs w:val="28"/>
              </w:rPr>
              <w:t>Osservazioni</w:t>
            </w:r>
          </w:p>
        </w:tc>
      </w:tr>
      <w:tr w:rsidR="004441F9" w:rsidRPr="00C86E80" w:rsidTr="004441F9">
        <w:trPr>
          <w:trHeight w:val="1134"/>
          <w:jc w:val="center"/>
        </w:trPr>
        <w:tc>
          <w:tcPr>
            <w:tcW w:w="1111" w:type="pct"/>
            <w:shd w:val="clear" w:color="auto" w:fill="auto"/>
            <w:vAlign w:val="center"/>
            <w:hideMark/>
          </w:tcPr>
          <w:p w:rsidR="00C34E63" w:rsidRDefault="00C34E63" w:rsidP="00C34E63">
            <w:pPr>
              <w:pStyle w:val="Default"/>
              <w:jc w:val="center"/>
              <w:rPr>
                <w:rFonts w:asciiTheme="minorHAnsi" w:hAnsiTheme="minorHAnsi" w:cstheme="minorHAnsi"/>
                <w:sz w:val="20"/>
                <w:szCs w:val="20"/>
              </w:rPr>
            </w:pPr>
            <w:r>
              <w:rPr>
                <w:rFonts w:asciiTheme="minorHAnsi" w:hAnsiTheme="minorHAnsi" w:cstheme="minorHAnsi"/>
                <w:sz w:val="20"/>
                <w:szCs w:val="20"/>
              </w:rPr>
              <w:t>Cittadino</w:t>
            </w:r>
          </w:p>
          <w:p w:rsidR="00C34E63" w:rsidRDefault="00C34E63" w:rsidP="00C34E63">
            <w:pPr>
              <w:pStyle w:val="Default"/>
              <w:jc w:val="center"/>
              <w:rPr>
                <w:rFonts w:asciiTheme="minorHAnsi" w:hAnsiTheme="minorHAnsi" w:cstheme="minorHAnsi"/>
                <w:sz w:val="20"/>
                <w:szCs w:val="20"/>
              </w:rPr>
            </w:pPr>
            <w:r>
              <w:rPr>
                <w:rFonts w:asciiTheme="minorHAnsi" w:hAnsiTheme="minorHAnsi" w:cstheme="minorHAnsi"/>
                <w:sz w:val="20"/>
                <w:szCs w:val="20"/>
              </w:rPr>
              <w:t>Ordine degli Avvocati</w:t>
            </w:r>
          </w:p>
          <w:p w:rsidR="00D66A1D" w:rsidRPr="00BD655F" w:rsidRDefault="00C34E63" w:rsidP="00C34E63">
            <w:pPr>
              <w:spacing w:after="0" w:line="240" w:lineRule="auto"/>
              <w:jc w:val="center"/>
              <w:rPr>
                <w:rFonts w:cs="Arial"/>
                <w:color w:val="000000"/>
                <w:sz w:val="20"/>
                <w:szCs w:val="20"/>
              </w:rPr>
            </w:pPr>
            <w:r>
              <w:rPr>
                <w:rFonts w:asciiTheme="minorHAnsi" w:hAnsiTheme="minorHAnsi" w:cstheme="minorHAnsi"/>
                <w:sz w:val="20"/>
                <w:szCs w:val="20"/>
              </w:rPr>
              <w:t>Ufficio del Giudice di Pace di Vicenza</w:t>
            </w:r>
          </w:p>
        </w:tc>
        <w:tc>
          <w:tcPr>
            <w:tcW w:w="1389" w:type="pct"/>
            <w:vAlign w:val="center"/>
          </w:tcPr>
          <w:p w:rsidR="00D66A1D" w:rsidRPr="00BD655F" w:rsidRDefault="00D66A1D" w:rsidP="000854C1">
            <w:pPr>
              <w:spacing w:after="0" w:line="240" w:lineRule="auto"/>
              <w:jc w:val="left"/>
              <w:rPr>
                <w:rFonts w:cs="Arial"/>
                <w:color w:val="000000"/>
                <w:sz w:val="20"/>
                <w:szCs w:val="20"/>
              </w:rPr>
            </w:pPr>
            <w:r>
              <w:rPr>
                <w:rFonts w:cs="Arial"/>
                <w:color w:val="000000"/>
                <w:sz w:val="20"/>
                <w:szCs w:val="20"/>
              </w:rPr>
              <w:t>Elaborazione di un piano delle priorità in relazione allo smaltimento delle cause più arretrate</w:t>
            </w:r>
          </w:p>
        </w:tc>
        <w:tc>
          <w:tcPr>
            <w:tcW w:w="1111" w:type="pct"/>
            <w:vAlign w:val="center"/>
          </w:tcPr>
          <w:p w:rsidR="00D66A1D" w:rsidRPr="001C72C0" w:rsidRDefault="00936F08" w:rsidP="004441F9">
            <w:pPr>
              <w:spacing w:after="0" w:line="240" w:lineRule="auto"/>
              <w:jc w:val="center"/>
              <w:rPr>
                <w:rFonts w:cs="Arial"/>
                <w:color w:val="000000"/>
                <w:sz w:val="18"/>
                <w:szCs w:val="18"/>
              </w:rPr>
            </w:pPr>
            <w:r>
              <w:rPr>
                <w:rFonts w:cs="Arial"/>
                <w:color w:val="000000"/>
                <w:sz w:val="18"/>
                <w:szCs w:val="18"/>
              </w:rPr>
              <w:pict w14:anchorId="6920A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39.35pt">
                  <v:imagedata r:id="rId23" o:title=""/>
                </v:shape>
              </w:pict>
            </w:r>
          </w:p>
        </w:tc>
        <w:tc>
          <w:tcPr>
            <w:tcW w:w="1389" w:type="pct"/>
            <w:vAlign w:val="center"/>
          </w:tcPr>
          <w:p w:rsidR="00D66A1D" w:rsidRPr="004441F9" w:rsidRDefault="00D66A1D" w:rsidP="004441F9">
            <w:pPr>
              <w:spacing w:after="0" w:line="240" w:lineRule="auto"/>
              <w:jc w:val="left"/>
              <w:rPr>
                <w:rFonts w:cs="Arial"/>
                <w:color w:val="000000"/>
                <w:sz w:val="20"/>
                <w:szCs w:val="20"/>
              </w:rPr>
            </w:pPr>
            <w:r w:rsidRPr="004441F9">
              <w:rPr>
                <w:rFonts w:cs="Arial"/>
                <w:color w:val="000000"/>
                <w:sz w:val="20"/>
                <w:szCs w:val="20"/>
              </w:rPr>
              <w:t xml:space="preserve">L’iniziativa è stata avviata e ha già </w:t>
            </w:r>
            <w:r w:rsidR="004441F9" w:rsidRPr="004441F9">
              <w:rPr>
                <w:rFonts w:cs="Arial"/>
                <w:color w:val="000000"/>
                <w:sz w:val="20"/>
                <w:szCs w:val="20"/>
              </w:rPr>
              <w:t>smaltito</w:t>
            </w:r>
            <w:r w:rsidRPr="004441F9">
              <w:rPr>
                <w:rFonts w:cs="Arial"/>
                <w:color w:val="000000"/>
                <w:sz w:val="20"/>
                <w:szCs w:val="20"/>
              </w:rPr>
              <w:t xml:space="preserve"> con successo parte dell’arretrato più antico</w:t>
            </w:r>
          </w:p>
        </w:tc>
      </w:tr>
      <w:tr w:rsidR="004441F9" w:rsidRPr="00C86E80" w:rsidTr="004441F9">
        <w:trPr>
          <w:trHeight w:val="1134"/>
          <w:jc w:val="center"/>
        </w:trPr>
        <w:tc>
          <w:tcPr>
            <w:tcW w:w="1111" w:type="pct"/>
            <w:shd w:val="clear" w:color="auto" w:fill="auto"/>
            <w:vAlign w:val="center"/>
            <w:hideMark/>
          </w:tcPr>
          <w:p w:rsidR="00D66A1D" w:rsidRDefault="00C34E63" w:rsidP="000854C1">
            <w:pPr>
              <w:pStyle w:val="Default"/>
              <w:jc w:val="center"/>
              <w:rPr>
                <w:rFonts w:asciiTheme="minorHAnsi" w:hAnsiTheme="minorHAnsi" w:cstheme="minorHAnsi"/>
                <w:sz w:val="20"/>
                <w:szCs w:val="20"/>
              </w:rPr>
            </w:pPr>
            <w:r>
              <w:rPr>
                <w:rFonts w:asciiTheme="minorHAnsi" w:hAnsiTheme="minorHAnsi" w:cstheme="minorHAnsi"/>
                <w:sz w:val="20"/>
                <w:szCs w:val="20"/>
              </w:rPr>
              <w:t>Cittadino</w:t>
            </w:r>
          </w:p>
          <w:p w:rsidR="00C34E63" w:rsidRDefault="00C34E63" w:rsidP="000854C1">
            <w:pPr>
              <w:pStyle w:val="Default"/>
              <w:jc w:val="center"/>
              <w:rPr>
                <w:rFonts w:asciiTheme="minorHAnsi" w:hAnsiTheme="minorHAnsi" w:cstheme="minorHAnsi"/>
                <w:sz w:val="20"/>
                <w:szCs w:val="20"/>
              </w:rPr>
            </w:pPr>
            <w:r>
              <w:rPr>
                <w:rFonts w:asciiTheme="minorHAnsi" w:hAnsiTheme="minorHAnsi" w:cstheme="minorHAnsi"/>
                <w:sz w:val="20"/>
                <w:szCs w:val="20"/>
              </w:rPr>
              <w:t>Ordine degli Avvocati</w:t>
            </w:r>
          </w:p>
          <w:p w:rsidR="00C34E63" w:rsidRPr="00AF627D" w:rsidRDefault="00C34E63" w:rsidP="000854C1">
            <w:pPr>
              <w:pStyle w:val="Default"/>
              <w:jc w:val="center"/>
              <w:rPr>
                <w:rFonts w:asciiTheme="minorHAnsi" w:hAnsiTheme="minorHAnsi" w:cstheme="minorHAnsi"/>
                <w:sz w:val="20"/>
                <w:szCs w:val="20"/>
              </w:rPr>
            </w:pPr>
            <w:r>
              <w:rPr>
                <w:rFonts w:asciiTheme="minorHAnsi" w:hAnsiTheme="minorHAnsi" w:cstheme="minorHAnsi"/>
                <w:sz w:val="20"/>
                <w:szCs w:val="20"/>
              </w:rPr>
              <w:t>Ufficio del Giudice di Pace di Vicenza</w:t>
            </w:r>
          </w:p>
        </w:tc>
        <w:tc>
          <w:tcPr>
            <w:tcW w:w="1389" w:type="pct"/>
            <w:vAlign w:val="center"/>
          </w:tcPr>
          <w:p w:rsidR="00D66A1D" w:rsidRPr="00AF627D" w:rsidRDefault="00D66A1D" w:rsidP="000854C1">
            <w:pPr>
              <w:spacing w:after="0" w:line="240" w:lineRule="auto"/>
              <w:jc w:val="left"/>
              <w:rPr>
                <w:rFonts w:cs="Arial"/>
                <w:color w:val="000000"/>
                <w:sz w:val="20"/>
                <w:szCs w:val="20"/>
              </w:rPr>
            </w:pPr>
            <w:r>
              <w:rPr>
                <w:rFonts w:cs="Arial"/>
                <w:color w:val="000000"/>
                <w:sz w:val="20"/>
                <w:szCs w:val="20"/>
              </w:rPr>
              <w:t xml:space="preserve">Revisione e miglioramento </w:t>
            </w:r>
            <w:r w:rsidRPr="00AF627D">
              <w:rPr>
                <w:rFonts w:cs="Arial"/>
                <w:color w:val="000000"/>
                <w:sz w:val="20"/>
                <w:szCs w:val="20"/>
              </w:rPr>
              <w:t>di tutta la modulistica</w:t>
            </w:r>
            <w:r>
              <w:rPr>
                <w:rFonts w:cs="Arial"/>
                <w:color w:val="000000"/>
                <w:sz w:val="20"/>
                <w:szCs w:val="20"/>
              </w:rPr>
              <w:t xml:space="preserve"> che sarà utilizzata sia dall’utenza, sia internamente dall’Ufficio</w:t>
            </w:r>
          </w:p>
        </w:tc>
        <w:tc>
          <w:tcPr>
            <w:tcW w:w="1111" w:type="pct"/>
            <w:vAlign w:val="center"/>
          </w:tcPr>
          <w:p w:rsidR="00D66A1D" w:rsidRDefault="00936F08" w:rsidP="004441F9">
            <w:pPr>
              <w:spacing w:after="0" w:line="240" w:lineRule="auto"/>
              <w:jc w:val="center"/>
              <w:rPr>
                <w:rFonts w:cs="Arial"/>
                <w:color w:val="000000"/>
                <w:sz w:val="18"/>
                <w:szCs w:val="18"/>
              </w:rPr>
            </w:pPr>
            <w:r>
              <w:rPr>
                <w:rFonts w:cs="Arial"/>
                <w:color w:val="000000"/>
                <w:sz w:val="18"/>
                <w:szCs w:val="18"/>
              </w:rPr>
              <w:pict w14:anchorId="030BAAAD">
                <v:shape id="_x0000_i1026" type="#_x0000_t75" style="width:15.05pt;height:39.35pt">
                  <v:imagedata r:id="rId23" o:title=""/>
                </v:shape>
              </w:pict>
            </w:r>
          </w:p>
        </w:tc>
        <w:tc>
          <w:tcPr>
            <w:tcW w:w="1389" w:type="pct"/>
            <w:vAlign w:val="center"/>
          </w:tcPr>
          <w:p w:rsidR="00D66A1D" w:rsidRPr="004441F9" w:rsidRDefault="004441F9" w:rsidP="004441F9">
            <w:pPr>
              <w:spacing w:after="0" w:line="240" w:lineRule="auto"/>
              <w:jc w:val="left"/>
              <w:rPr>
                <w:rFonts w:cs="Arial"/>
                <w:color w:val="000000"/>
                <w:sz w:val="20"/>
                <w:szCs w:val="20"/>
              </w:rPr>
            </w:pPr>
            <w:r w:rsidRPr="004441F9">
              <w:rPr>
                <w:rFonts w:cs="Arial"/>
                <w:color w:val="000000"/>
                <w:sz w:val="20"/>
                <w:szCs w:val="20"/>
              </w:rPr>
              <w:t>L’intera modulistica dell’Ufficio è stata rivista e resa disponibile sul sito internet dell’Ufficio</w:t>
            </w:r>
          </w:p>
        </w:tc>
      </w:tr>
      <w:tr w:rsidR="004441F9" w:rsidRPr="00C86E80" w:rsidTr="004441F9">
        <w:trPr>
          <w:trHeight w:val="1134"/>
          <w:jc w:val="center"/>
        </w:trPr>
        <w:tc>
          <w:tcPr>
            <w:tcW w:w="1111" w:type="pct"/>
            <w:shd w:val="clear" w:color="auto" w:fill="auto"/>
            <w:vAlign w:val="center"/>
            <w:hideMark/>
          </w:tcPr>
          <w:p w:rsidR="00C34E63" w:rsidRDefault="00C34E63" w:rsidP="00C34E63">
            <w:pPr>
              <w:pStyle w:val="Default"/>
              <w:jc w:val="center"/>
              <w:rPr>
                <w:rFonts w:asciiTheme="minorHAnsi" w:hAnsiTheme="minorHAnsi" w:cstheme="minorHAnsi"/>
                <w:sz w:val="20"/>
                <w:szCs w:val="20"/>
              </w:rPr>
            </w:pPr>
            <w:r>
              <w:rPr>
                <w:rFonts w:asciiTheme="minorHAnsi" w:hAnsiTheme="minorHAnsi" w:cstheme="minorHAnsi"/>
                <w:sz w:val="20"/>
                <w:szCs w:val="20"/>
              </w:rPr>
              <w:t>Cittadino</w:t>
            </w:r>
          </w:p>
          <w:p w:rsidR="00C34E63" w:rsidRDefault="00C34E63" w:rsidP="00C34E63">
            <w:pPr>
              <w:pStyle w:val="Default"/>
              <w:jc w:val="center"/>
              <w:rPr>
                <w:rFonts w:asciiTheme="minorHAnsi" w:hAnsiTheme="minorHAnsi" w:cstheme="minorHAnsi"/>
                <w:sz w:val="20"/>
                <w:szCs w:val="20"/>
              </w:rPr>
            </w:pPr>
            <w:r>
              <w:rPr>
                <w:rFonts w:asciiTheme="minorHAnsi" w:hAnsiTheme="minorHAnsi" w:cstheme="minorHAnsi"/>
                <w:sz w:val="20"/>
                <w:szCs w:val="20"/>
              </w:rPr>
              <w:t>Ordine degli Avvocati</w:t>
            </w:r>
          </w:p>
          <w:p w:rsidR="00D66A1D" w:rsidRPr="00AF627D" w:rsidRDefault="00C34E63" w:rsidP="00C34E63">
            <w:pPr>
              <w:spacing w:after="0" w:line="240" w:lineRule="auto"/>
              <w:jc w:val="center"/>
              <w:rPr>
                <w:rFonts w:cs="Arial"/>
                <w:color w:val="000000"/>
                <w:sz w:val="20"/>
                <w:szCs w:val="20"/>
              </w:rPr>
            </w:pPr>
            <w:r>
              <w:rPr>
                <w:rFonts w:asciiTheme="minorHAnsi" w:hAnsiTheme="minorHAnsi" w:cstheme="minorHAnsi"/>
                <w:sz w:val="20"/>
                <w:szCs w:val="20"/>
              </w:rPr>
              <w:t>Ufficio del Giudice di Pace di Vicenza</w:t>
            </w:r>
          </w:p>
        </w:tc>
        <w:tc>
          <w:tcPr>
            <w:tcW w:w="1389" w:type="pct"/>
            <w:vAlign w:val="center"/>
          </w:tcPr>
          <w:p w:rsidR="00D66A1D" w:rsidRPr="00AF627D" w:rsidRDefault="004441F9" w:rsidP="000854C1">
            <w:pPr>
              <w:spacing w:after="0" w:line="240" w:lineRule="auto"/>
              <w:jc w:val="left"/>
              <w:rPr>
                <w:rFonts w:cs="Arial"/>
                <w:color w:val="000000"/>
                <w:sz w:val="20"/>
                <w:szCs w:val="20"/>
                <w:u w:val="single"/>
              </w:rPr>
            </w:pPr>
            <w:r>
              <w:rPr>
                <w:rFonts w:cs="Arial"/>
                <w:color w:val="000000"/>
                <w:sz w:val="20"/>
                <w:szCs w:val="20"/>
              </w:rPr>
              <w:t>R</w:t>
            </w:r>
            <w:r w:rsidR="00D66A1D">
              <w:rPr>
                <w:rFonts w:cs="Arial"/>
                <w:color w:val="000000"/>
                <w:sz w:val="20"/>
                <w:szCs w:val="20"/>
              </w:rPr>
              <w:t>iunioni di coordinamento e fissazione di standard tra giudici al fine di rendere più omogenei e trasparenti i tempi di definizione dei procedimenti</w:t>
            </w:r>
          </w:p>
        </w:tc>
        <w:tc>
          <w:tcPr>
            <w:tcW w:w="1111" w:type="pct"/>
            <w:vAlign w:val="center"/>
          </w:tcPr>
          <w:p w:rsidR="00D66A1D" w:rsidRPr="004441F9" w:rsidRDefault="004441F9" w:rsidP="004441F9">
            <w:pPr>
              <w:spacing w:after="0" w:line="240" w:lineRule="auto"/>
              <w:jc w:val="center"/>
              <w:rPr>
                <w:rFonts w:cs="Arial"/>
                <w:color w:val="000000"/>
                <w:sz w:val="18"/>
                <w:szCs w:val="18"/>
              </w:rPr>
            </w:pPr>
            <w:r>
              <w:rPr>
                <w:rFonts w:cs="Arial"/>
                <w:noProof/>
                <w:color w:val="000000"/>
                <w:sz w:val="18"/>
                <w:szCs w:val="18"/>
              </w:rPr>
              <w:drawing>
                <wp:inline distT="0" distB="0" distL="0" distR="0" wp14:anchorId="5A353219" wp14:editId="45CFD44E">
                  <wp:extent cx="190500" cy="495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4441F9" w:rsidRPr="004441F9" w:rsidRDefault="004441F9" w:rsidP="004441F9">
            <w:pPr>
              <w:spacing w:after="0"/>
              <w:jc w:val="left"/>
              <w:rPr>
                <w:rFonts w:cs="Arial"/>
                <w:color w:val="000000"/>
                <w:sz w:val="20"/>
                <w:szCs w:val="20"/>
              </w:rPr>
            </w:pPr>
            <w:r>
              <w:rPr>
                <w:rFonts w:cs="Arial"/>
                <w:color w:val="000000"/>
                <w:sz w:val="20"/>
                <w:szCs w:val="20"/>
              </w:rPr>
              <w:t>I</w:t>
            </w:r>
            <w:r w:rsidRPr="004441F9">
              <w:rPr>
                <w:rFonts w:cs="Arial"/>
                <w:color w:val="000000"/>
                <w:sz w:val="20"/>
                <w:szCs w:val="20"/>
              </w:rPr>
              <w:t xml:space="preserve">niziativa </w:t>
            </w:r>
            <w:r>
              <w:rPr>
                <w:rFonts w:cs="Arial"/>
                <w:color w:val="000000"/>
                <w:sz w:val="20"/>
                <w:szCs w:val="20"/>
              </w:rPr>
              <w:t xml:space="preserve">già </w:t>
            </w:r>
            <w:r w:rsidRPr="004441F9">
              <w:rPr>
                <w:rFonts w:cs="Arial"/>
                <w:color w:val="000000"/>
                <w:sz w:val="20"/>
                <w:szCs w:val="20"/>
              </w:rPr>
              <w:t>avviata</w:t>
            </w:r>
            <w:r>
              <w:rPr>
                <w:rFonts w:cs="Arial"/>
                <w:color w:val="000000"/>
                <w:sz w:val="20"/>
                <w:szCs w:val="20"/>
              </w:rPr>
              <w:t xml:space="preserve"> da tempo e, attraverso un nuovo sistema di monitoraggio, sarà possibile tenere maggiormente sotto controllo i tempi medi</w:t>
            </w:r>
          </w:p>
        </w:tc>
      </w:tr>
      <w:tr w:rsidR="004441F9" w:rsidRPr="00C86E80" w:rsidTr="004441F9">
        <w:trPr>
          <w:trHeight w:val="1134"/>
          <w:jc w:val="center"/>
        </w:trPr>
        <w:tc>
          <w:tcPr>
            <w:tcW w:w="1111" w:type="pct"/>
            <w:shd w:val="clear" w:color="auto" w:fill="auto"/>
            <w:vAlign w:val="center"/>
          </w:tcPr>
          <w:p w:rsidR="004441F9" w:rsidRPr="00BD655F" w:rsidRDefault="004441F9" w:rsidP="00B168EB">
            <w:pPr>
              <w:spacing w:after="0" w:line="240" w:lineRule="auto"/>
              <w:jc w:val="center"/>
              <w:rPr>
                <w:rFonts w:cs="Arial"/>
                <w:color w:val="000000"/>
                <w:sz w:val="20"/>
                <w:szCs w:val="20"/>
              </w:rPr>
            </w:pPr>
            <w:r w:rsidRPr="00BD655F">
              <w:rPr>
                <w:rFonts w:cs="Arial"/>
                <w:color w:val="000000"/>
                <w:sz w:val="20"/>
                <w:szCs w:val="20"/>
              </w:rPr>
              <w:lastRenderedPageBreak/>
              <w:t>Prefettura</w:t>
            </w:r>
          </w:p>
        </w:tc>
        <w:tc>
          <w:tcPr>
            <w:tcW w:w="1389" w:type="pct"/>
            <w:vAlign w:val="center"/>
          </w:tcPr>
          <w:p w:rsidR="004441F9" w:rsidRPr="00BD655F" w:rsidRDefault="004441F9" w:rsidP="00B168EB">
            <w:pPr>
              <w:spacing w:after="0" w:line="240" w:lineRule="auto"/>
              <w:jc w:val="left"/>
              <w:rPr>
                <w:rFonts w:cs="Arial"/>
                <w:color w:val="000000"/>
                <w:sz w:val="20"/>
                <w:szCs w:val="20"/>
              </w:rPr>
            </w:pPr>
            <w:r w:rsidRPr="00BD655F">
              <w:rPr>
                <w:rFonts w:cs="Arial"/>
                <w:color w:val="000000"/>
                <w:sz w:val="20"/>
                <w:szCs w:val="20"/>
              </w:rPr>
              <w:t xml:space="preserve">Collaborazione nella trasmissione via fax delle sentenze </w:t>
            </w:r>
            <w:r>
              <w:rPr>
                <w:rFonts w:cs="Arial"/>
                <w:color w:val="000000"/>
                <w:sz w:val="20"/>
                <w:szCs w:val="20"/>
              </w:rPr>
              <w:t>appellate più</w:t>
            </w:r>
            <w:r w:rsidRPr="00BD655F">
              <w:rPr>
                <w:rFonts w:cs="Arial"/>
                <w:color w:val="000000"/>
                <w:sz w:val="20"/>
                <w:szCs w:val="20"/>
              </w:rPr>
              <w:t xml:space="preserve"> </w:t>
            </w:r>
            <w:r>
              <w:rPr>
                <w:rFonts w:cs="Arial"/>
                <w:color w:val="000000"/>
                <w:sz w:val="20"/>
                <w:szCs w:val="20"/>
              </w:rPr>
              <w:t>urgenti / prioritarie</w:t>
            </w:r>
          </w:p>
        </w:tc>
        <w:tc>
          <w:tcPr>
            <w:tcW w:w="1111" w:type="pct"/>
            <w:vAlign w:val="center"/>
          </w:tcPr>
          <w:p w:rsidR="004441F9" w:rsidRDefault="004441F9" w:rsidP="004441F9">
            <w:pPr>
              <w:spacing w:after="0" w:line="240" w:lineRule="auto"/>
              <w:jc w:val="center"/>
              <w:rPr>
                <w:rFonts w:cs="Arial"/>
                <w:color w:val="000000"/>
                <w:sz w:val="18"/>
                <w:szCs w:val="18"/>
              </w:rPr>
            </w:pPr>
            <w:r>
              <w:rPr>
                <w:rFonts w:cs="Arial"/>
                <w:noProof/>
                <w:color w:val="000000"/>
                <w:sz w:val="18"/>
                <w:szCs w:val="18"/>
              </w:rPr>
              <w:drawing>
                <wp:inline distT="0" distB="0" distL="0" distR="0" wp14:anchorId="2E596D6D" wp14:editId="37C7B15C">
                  <wp:extent cx="190500" cy="495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4441F9" w:rsidRPr="004441F9" w:rsidRDefault="004441F9" w:rsidP="004441F9">
            <w:pPr>
              <w:spacing w:after="0"/>
              <w:jc w:val="left"/>
              <w:rPr>
                <w:rFonts w:cs="Arial"/>
                <w:color w:val="000000"/>
                <w:sz w:val="20"/>
                <w:szCs w:val="20"/>
              </w:rPr>
            </w:pPr>
            <w:r>
              <w:rPr>
                <w:rFonts w:cs="Arial"/>
                <w:color w:val="000000"/>
                <w:sz w:val="20"/>
                <w:szCs w:val="20"/>
              </w:rPr>
              <w:t>Attività in linea con le previsioni</w:t>
            </w:r>
          </w:p>
        </w:tc>
      </w:tr>
      <w:tr w:rsidR="004441F9" w:rsidRPr="00C86E80" w:rsidTr="004441F9">
        <w:trPr>
          <w:trHeight w:val="1134"/>
          <w:jc w:val="center"/>
        </w:trPr>
        <w:tc>
          <w:tcPr>
            <w:tcW w:w="1111" w:type="pct"/>
            <w:shd w:val="clear" w:color="auto" w:fill="auto"/>
            <w:vAlign w:val="center"/>
          </w:tcPr>
          <w:p w:rsidR="004441F9" w:rsidRPr="00BD655F" w:rsidRDefault="004441F9" w:rsidP="00B168EB">
            <w:pPr>
              <w:spacing w:after="0" w:line="240" w:lineRule="auto"/>
              <w:jc w:val="center"/>
              <w:rPr>
                <w:rFonts w:cs="Arial"/>
                <w:color w:val="000000"/>
                <w:sz w:val="20"/>
                <w:szCs w:val="20"/>
              </w:rPr>
            </w:pPr>
            <w:r>
              <w:rPr>
                <w:rFonts w:cs="Arial"/>
                <w:color w:val="000000"/>
                <w:sz w:val="20"/>
                <w:szCs w:val="20"/>
              </w:rPr>
              <w:t>Questura</w:t>
            </w:r>
          </w:p>
        </w:tc>
        <w:tc>
          <w:tcPr>
            <w:tcW w:w="1389" w:type="pct"/>
            <w:vAlign w:val="center"/>
          </w:tcPr>
          <w:p w:rsidR="004441F9" w:rsidRPr="00BD655F" w:rsidRDefault="004441F9" w:rsidP="00B168EB">
            <w:pPr>
              <w:spacing w:after="0" w:line="240" w:lineRule="auto"/>
              <w:jc w:val="left"/>
              <w:rPr>
                <w:rFonts w:cs="Arial"/>
                <w:color w:val="000000"/>
                <w:sz w:val="20"/>
                <w:szCs w:val="20"/>
              </w:rPr>
            </w:pPr>
            <w:r>
              <w:rPr>
                <w:rFonts w:cs="Arial"/>
                <w:color w:val="000000"/>
                <w:sz w:val="20"/>
                <w:szCs w:val="20"/>
              </w:rPr>
              <w:t>In materia di immigrazione, i tempi di intervento per la validazione del procedimento risultano essere ristretti. La collaborazione tra il Giudice di Pace di Vicenza e la Questura di Vicenza permette la comunicazione preventiva entro la mattina del singolo caso affinché il Giudice fissi l’udienza nel più breve tempo possibile, consentendo così la validità del procedimento.</w:t>
            </w:r>
          </w:p>
        </w:tc>
        <w:tc>
          <w:tcPr>
            <w:tcW w:w="1111" w:type="pct"/>
            <w:vAlign w:val="center"/>
          </w:tcPr>
          <w:p w:rsidR="004441F9" w:rsidRDefault="004441F9" w:rsidP="004441F9">
            <w:pPr>
              <w:spacing w:after="0" w:line="240" w:lineRule="auto"/>
              <w:jc w:val="center"/>
              <w:rPr>
                <w:rFonts w:cs="Arial"/>
                <w:color w:val="000000"/>
                <w:sz w:val="18"/>
                <w:szCs w:val="18"/>
              </w:rPr>
            </w:pPr>
            <w:r>
              <w:rPr>
                <w:rFonts w:cs="Arial"/>
                <w:noProof/>
                <w:color w:val="000000"/>
                <w:sz w:val="18"/>
                <w:szCs w:val="18"/>
              </w:rPr>
              <w:drawing>
                <wp:inline distT="0" distB="0" distL="0" distR="0" wp14:anchorId="68D8CB6D" wp14:editId="60010450">
                  <wp:extent cx="190500" cy="495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4441F9" w:rsidRPr="004441F9" w:rsidRDefault="004441F9" w:rsidP="004441F9">
            <w:pPr>
              <w:spacing w:after="0"/>
              <w:jc w:val="left"/>
              <w:rPr>
                <w:rFonts w:cs="Arial"/>
                <w:color w:val="000000"/>
                <w:sz w:val="20"/>
                <w:szCs w:val="20"/>
              </w:rPr>
            </w:pPr>
            <w:r>
              <w:rPr>
                <w:rFonts w:cs="Arial"/>
                <w:color w:val="000000"/>
                <w:sz w:val="20"/>
                <w:szCs w:val="20"/>
              </w:rPr>
              <w:t>Attività in linea con le previsioni</w:t>
            </w:r>
          </w:p>
        </w:tc>
      </w:tr>
    </w:tbl>
    <w:p w:rsidR="00D90F9F" w:rsidRDefault="00D90F9F" w:rsidP="00204B74">
      <w:pPr>
        <w:keepNext/>
        <w:rPr>
          <w:rFonts w:eastAsia="Calibri"/>
          <w:b/>
          <w:color w:val="00B050"/>
          <w:u w:val="single"/>
        </w:rPr>
      </w:pPr>
      <w:bookmarkStart w:id="30" w:name="_Toc343701384"/>
      <w:bookmarkEnd w:id="29"/>
    </w:p>
    <w:p w:rsidR="00204B74" w:rsidRDefault="00204B74" w:rsidP="00204B74">
      <w:pPr>
        <w:keepNext/>
        <w:rPr>
          <w:rFonts w:eastAsia="Calibri"/>
          <w:b/>
          <w:color w:val="00B050"/>
          <w:u w:val="single"/>
        </w:rPr>
      </w:pPr>
      <w:r w:rsidRPr="00E1477C">
        <w:rPr>
          <w:rFonts w:eastAsia="Calibri"/>
          <w:b/>
          <w:color w:val="00B050"/>
          <w:u w:val="single"/>
        </w:rPr>
        <w:t xml:space="preserve">Miglioramento </w:t>
      </w:r>
      <w:bookmarkEnd w:id="30"/>
      <w:r>
        <w:rPr>
          <w:rFonts w:eastAsia="Calibri"/>
          <w:b/>
          <w:color w:val="00B050"/>
          <w:u w:val="single"/>
        </w:rPr>
        <w:t>procedure informatiche</w:t>
      </w:r>
    </w:p>
    <w:tbl>
      <w:tblPr>
        <w:tblW w:w="5215" w:type="pct"/>
        <w:jc w:val="center"/>
        <w:tblInd w:w="365" w:type="dxa"/>
        <w:tblBorders>
          <w:top w:val="dotted" w:sz="4" w:space="0" w:color="008000"/>
          <w:left w:val="dotted" w:sz="4" w:space="0" w:color="008000"/>
          <w:bottom w:val="dotted" w:sz="4" w:space="0" w:color="008000"/>
          <w:right w:val="dotted" w:sz="4" w:space="0" w:color="008000"/>
          <w:insideH w:val="dotted" w:sz="4" w:space="0" w:color="008000"/>
          <w:insideV w:val="dotted" w:sz="4" w:space="0" w:color="008000"/>
        </w:tblBorders>
        <w:tblLayout w:type="fixed"/>
        <w:tblCellMar>
          <w:left w:w="70" w:type="dxa"/>
          <w:right w:w="70" w:type="dxa"/>
        </w:tblCellMar>
        <w:tblLook w:val="04A0" w:firstRow="1" w:lastRow="0" w:firstColumn="1" w:lastColumn="0" w:noHBand="0" w:noVBand="1"/>
      </w:tblPr>
      <w:tblGrid>
        <w:gridCol w:w="2266"/>
        <w:gridCol w:w="2833"/>
        <w:gridCol w:w="2266"/>
        <w:gridCol w:w="2833"/>
      </w:tblGrid>
      <w:tr w:rsidR="00EE0378" w:rsidRPr="00522DBF" w:rsidTr="00B168EB">
        <w:trPr>
          <w:trHeight w:val="1134"/>
          <w:tblHeader/>
          <w:jc w:val="center"/>
        </w:trPr>
        <w:tc>
          <w:tcPr>
            <w:tcW w:w="1111" w:type="pct"/>
            <w:shd w:val="clear" w:color="auto" w:fill="008000"/>
            <w:vAlign w:val="center"/>
            <w:hideMark/>
          </w:tcPr>
          <w:p w:rsidR="00EE0378" w:rsidRPr="007E4743" w:rsidRDefault="00EE0378" w:rsidP="00B168EB">
            <w:pPr>
              <w:spacing w:after="0" w:line="240" w:lineRule="auto"/>
              <w:jc w:val="center"/>
              <w:rPr>
                <w:rFonts w:cs="Arial"/>
                <w:b/>
                <w:bCs/>
                <w:color w:val="FFFFFF"/>
                <w:szCs w:val="28"/>
              </w:rPr>
            </w:pPr>
            <w:r w:rsidRPr="007E4743">
              <w:rPr>
                <w:rFonts w:cs="Arial"/>
                <w:b/>
                <w:bCs/>
                <w:color w:val="FFFFFF"/>
                <w:szCs w:val="28"/>
              </w:rPr>
              <w:t>Stakeholder di riferimento</w:t>
            </w:r>
          </w:p>
        </w:tc>
        <w:tc>
          <w:tcPr>
            <w:tcW w:w="1389" w:type="pct"/>
            <w:shd w:val="clear" w:color="auto" w:fill="008000"/>
            <w:vAlign w:val="center"/>
          </w:tcPr>
          <w:p w:rsidR="00EE0378" w:rsidRPr="007E4743" w:rsidRDefault="00EE0378" w:rsidP="00B168EB">
            <w:pPr>
              <w:spacing w:after="0" w:line="240" w:lineRule="auto"/>
              <w:jc w:val="center"/>
              <w:rPr>
                <w:rFonts w:cs="Arial"/>
                <w:b/>
                <w:bCs/>
                <w:color w:val="FFFFFF"/>
                <w:szCs w:val="28"/>
              </w:rPr>
            </w:pPr>
            <w:r w:rsidRPr="007E4743">
              <w:rPr>
                <w:rFonts w:cs="Arial"/>
                <w:b/>
                <w:bCs/>
                <w:color w:val="FFFFFF"/>
                <w:szCs w:val="28"/>
              </w:rPr>
              <w:t>Azione programmata</w:t>
            </w:r>
          </w:p>
        </w:tc>
        <w:tc>
          <w:tcPr>
            <w:tcW w:w="1111" w:type="pct"/>
            <w:shd w:val="clear" w:color="auto" w:fill="008000"/>
            <w:vAlign w:val="center"/>
          </w:tcPr>
          <w:p w:rsidR="00EE0378" w:rsidRPr="00522DBF" w:rsidRDefault="00EE0378" w:rsidP="00B168EB">
            <w:pPr>
              <w:spacing w:after="0" w:line="240" w:lineRule="auto"/>
              <w:jc w:val="center"/>
              <w:rPr>
                <w:rFonts w:cs="Arial"/>
                <w:b/>
                <w:bCs/>
                <w:color w:val="FFFFFF"/>
                <w:szCs w:val="28"/>
              </w:rPr>
            </w:pPr>
            <w:r>
              <w:rPr>
                <w:rFonts w:cs="Arial"/>
                <w:b/>
                <w:bCs/>
                <w:color w:val="FFFFFF"/>
                <w:szCs w:val="28"/>
              </w:rPr>
              <w:t>Grado di raggiungimento</w:t>
            </w:r>
          </w:p>
        </w:tc>
        <w:tc>
          <w:tcPr>
            <w:tcW w:w="1389" w:type="pct"/>
            <w:shd w:val="clear" w:color="auto" w:fill="008000"/>
            <w:vAlign w:val="center"/>
          </w:tcPr>
          <w:p w:rsidR="00EE0378" w:rsidRDefault="00EE0378" w:rsidP="00B168EB">
            <w:pPr>
              <w:spacing w:after="0" w:line="240" w:lineRule="auto"/>
              <w:jc w:val="center"/>
              <w:rPr>
                <w:rFonts w:cs="Arial"/>
                <w:b/>
                <w:bCs/>
                <w:color w:val="FFFFFF"/>
                <w:szCs w:val="28"/>
              </w:rPr>
            </w:pPr>
            <w:r>
              <w:rPr>
                <w:rFonts w:cs="Arial"/>
                <w:b/>
                <w:bCs/>
                <w:color w:val="FFFFFF"/>
                <w:szCs w:val="28"/>
              </w:rPr>
              <w:t>Osservazioni</w:t>
            </w:r>
          </w:p>
        </w:tc>
      </w:tr>
      <w:tr w:rsidR="00EE0378" w:rsidRPr="00C86E80" w:rsidTr="00EE0378">
        <w:trPr>
          <w:trHeight w:val="1134"/>
          <w:jc w:val="center"/>
        </w:trPr>
        <w:tc>
          <w:tcPr>
            <w:tcW w:w="1111" w:type="pct"/>
            <w:shd w:val="clear" w:color="auto" w:fill="auto"/>
            <w:vAlign w:val="center"/>
          </w:tcPr>
          <w:p w:rsidR="00EE0378" w:rsidRPr="00C122C7" w:rsidRDefault="00EE0378" w:rsidP="00B168EB">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Aste Giudiziarie In Linea</w:t>
            </w:r>
          </w:p>
        </w:tc>
        <w:tc>
          <w:tcPr>
            <w:tcW w:w="1389" w:type="pct"/>
            <w:vAlign w:val="center"/>
          </w:tcPr>
          <w:p w:rsidR="00EE0378" w:rsidRPr="00C134E3" w:rsidRDefault="00EE0378" w:rsidP="00B168EB">
            <w:pPr>
              <w:spacing w:after="0" w:line="240" w:lineRule="auto"/>
              <w:jc w:val="left"/>
              <w:rPr>
                <w:rFonts w:asciiTheme="minorHAnsi" w:hAnsiTheme="minorHAnsi" w:cstheme="minorHAnsi"/>
                <w:color w:val="000000"/>
                <w:sz w:val="20"/>
                <w:szCs w:val="20"/>
              </w:rPr>
            </w:pPr>
            <w:r w:rsidRPr="00C134E3">
              <w:rPr>
                <w:rFonts w:asciiTheme="minorHAnsi" w:hAnsiTheme="minorHAnsi" w:cstheme="minorHAnsi"/>
                <w:color w:val="000000"/>
                <w:sz w:val="20"/>
                <w:szCs w:val="20"/>
              </w:rPr>
              <w:t>Collaborazione nella realizzazione del sito internet istituzionale del Giudice di Pace di Vicenza.</w:t>
            </w:r>
          </w:p>
        </w:tc>
        <w:tc>
          <w:tcPr>
            <w:tcW w:w="1111" w:type="pct"/>
            <w:vAlign w:val="center"/>
          </w:tcPr>
          <w:p w:rsidR="00EE0378" w:rsidRPr="001C72C0" w:rsidRDefault="00EE0378" w:rsidP="00B168EB">
            <w:pPr>
              <w:spacing w:after="0" w:line="240" w:lineRule="auto"/>
              <w:jc w:val="center"/>
              <w:rPr>
                <w:rFonts w:cs="Arial"/>
                <w:color w:val="000000"/>
                <w:sz w:val="18"/>
                <w:szCs w:val="18"/>
              </w:rPr>
            </w:pPr>
            <w:r>
              <w:rPr>
                <w:rFonts w:cs="Arial"/>
                <w:noProof/>
                <w:color w:val="000000"/>
                <w:sz w:val="18"/>
                <w:szCs w:val="18"/>
              </w:rPr>
              <w:drawing>
                <wp:inline distT="0" distB="0" distL="0" distR="0" wp14:anchorId="6010CC6E" wp14:editId="7F7F6F53">
                  <wp:extent cx="190500" cy="495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EE0378" w:rsidRPr="004441F9" w:rsidRDefault="00EE0378" w:rsidP="00B168EB">
            <w:pPr>
              <w:spacing w:after="0" w:line="240" w:lineRule="auto"/>
              <w:jc w:val="left"/>
              <w:rPr>
                <w:rFonts w:cs="Arial"/>
                <w:color w:val="000000"/>
                <w:sz w:val="20"/>
                <w:szCs w:val="20"/>
              </w:rPr>
            </w:pPr>
            <w:r>
              <w:rPr>
                <w:rFonts w:cs="Arial"/>
                <w:color w:val="000000"/>
                <w:sz w:val="20"/>
                <w:szCs w:val="20"/>
              </w:rPr>
              <w:t xml:space="preserve">Il sito è stato realizzato ed è consultabile all’indirizzo </w:t>
            </w:r>
            <w:hyperlink r:id="rId25" w:history="1">
              <w:r w:rsidRPr="00090902">
                <w:rPr>
                  <w:rStyle w:val="Hyperlink"/>
                  <w:rFonts w:cs="Arial"/>
                  <w:sz w:val="20"/>
                  <w:szCs w:val="20"/>
                </w:rPr>
                <w:t>www.giudicedipace.vicenza.it</w:t>
              </w:r>
            </w:hyperlink>
          </w:p>
        </w:tc>
      </w:tr>
      <w:tr w:rsidR="00EE0378" w:rsidRPr="00C86E80" w:rsidTr="00EE0378">
        <w:trPr>
          <w:trHeight w:val="1134"/>
          <w:jc w:val="center"/>
        </w:trPr>
        <w:tc>
          <w:tcPr>
            <w:tcW w:w="1111" w:type="pct"/>
            <w:shd w:val="clear" w:color="auto" w:fill="auto"/>
            <w:vAlign w:val="center"/>
          </w:tcPr>
          <w:p w:rsidR="00EE0378" w:rsidRPr="00C122C7" w:rsidRDefault="00EE0378" w:rsidP="00B168EB">
            <w:pPr>
              <w:pStyle w:val="Default"/>
              <w:jc w:val="center"/>
              <w:rPr>
                <w:rFonts w:asciiTheme="minorHAnsi" w:hAnsiTheme="minorHAnsi" w:cstheme="minorHAnsi"/>
                <w:sz w:val="20"/>
                <w:szCs w:val="20"/>
              </w:rPr>
            </w:pPr>
            <w:r>
              <w:rPr>
                <w:rFonts w:asciiTheme="minorHAnsi" w:hAnsiTheme="minorHAnsi" w:cstheme="minorHAnsi"/>
                <w:sz w:val="20"/>
                <w:szCs w:val="20"/>
              </w:rPr>
              <w:t>Ministero della Giustizia</w:t>
            </w:r>
          </w:p>
        </w:tc>
        <w:tc>
          <w:tcPr>
            <w:tcW w:w="1389" w:type="pct"/>
            <w:vAlign w:val="center"/>
          </w:tcPr>
          <w:p w:rsidR="00EE0378" w:rsidRPr="00C134E3" w:rsidRDefault="00EE0378" w:rsidP="00B168EB">
            <w:pPr>
              <w:spacing w:after="0" w:line="240" w:lineRule="auto"/>
              <w:jc w:val="left"/>
              <w:rPr>
                <w:rFonts w:asciiTheme="minorHAnsi" w:hAnsiTheme="minorHAnsi" w:cstheme="minorHAnsi"/>
                <w:color w:val="000000"/>
                <w:sz w:val="20"/>
                <w:szCs w:val="20"/>
              </w:rPr>
            </w:pPr>
            <w:r w:rsidRPr="00C134E3">
              <w:rPr>
                <w:rFonts w:asciiTheme="minorHAnsi" w:hAnsiTheme="minorHAnsi" w:cstheme="minorHAnsi"/>
                <w:color w:val="000000"/>
                <w:sz w:val="20"/>
                <w:szCs w:val="20"/>
              </w:rPr>
              <w:t>Implementazione della Posta Elettronica Certificata all’interno del Giudice di Pace di Vicenza</w:t>
            </w:r>
          </w:p>
        </w:tc>
        <w:tc>
          <w:tcPr>
            <w:tcW w:w="1111" w:type="pct"/>
            <w:vAlign w:val="center"/>
          </w:tcPr>
          <w:p w:rsidR="00EE0378" w:rsidRDefault="00936F08" w:rsidP="00B168EB">
            <w:pPr>
              <w:spacing w:after="0" w:line="240" w:lineRule="auto"/>
              <w:jc w:val="center"/>
              <w:rPr>
                <w:rFonts w:cs="Arial"/>
                <w:color w:val="000000"/>
                <w:sz w:val="18"/>
                <w:szCs w:val="18"/>
              </w:rPr>
            </w:pPr>
            <w:r>
              <w:rPr>
                <w:rFonts w:cs="Arial"/>
                <w:noProof/>
                <w:color w:val="000000"/>
                <w:sz w:val="18"/>
                <w:szCs w:val="18"/>
              </w:rPr>
              <w:drawing>
                <wp:inline distT="0" distB="0" distL="0" distR="0" wp14:anchorId="6CA687E8" wp14:editId="4BB8CB36">
                  <wp:extent cx="190500" cy="49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EE0378" w:rsidRPr="004441F9" w:rsidRDefault="00936F08" w:rsidP="00936F08">
            <w:pPr>
              <w:spacing w:after="0" w:line="240" w:lineRule="auto"/>
              <w:jc w:val="left"/>
              <w:rPr>
                <w:rFonts w:cs="Arial"/>
                <w:color w:val="000000"/>
                <w:sz w:val="20"/>
                <w:szCs w:val="20"/>
              </w:rPr>
            </w:pPr>
            <w:r>
              <w:rPr>
                <w:rFonts w:cs="Arial"/>
                <w:color w:val="000000"/>
                <w:sz w:val="20"/>
                <w:szCs w:val="20"/>
              </w:rPr>
              <w:t xml:space="preserve">A breve l’Ufficio sarà dotato di PEC fornita dal </w:t>
            </w:r>
            <w:r w:rsidR="00EE0378">
              <w:rPr>
                <w:rFonts w:cs="Arial"/>
                <w:color w:val="000000"/>
                <w:sz w:val="20"/>
                <w:szCs w:val="20"/>
              </w:rPr>
              <w:t xml:space="preserve">Ministero </w:t>
            </w:r>
            <w:r>
              <w:rPr>
                <w:rFonts w:cs="Arial"/>
                <w:color w:val="000000"/>
                <w:sz w:val="20"/>
                <w:szCs w:val="20"/>
              </w:rPr>
              <w:t>della Giustizia</w:t>
            </w:r>
          </w:p>
        </w:tc>
      </w:tr>
      <w:tr w:rsidR="00EE0378" w:rsidRPr="00C86E80" w:rsidTr="00EE0378">
        <w:trPr>
          <w:trHeight w:val="1134"/>
          <w:jc w:val="center"/>
        </w:trPr>
        <w:tc>
          <w:tcPr>
            <w:tcW w:w="1111" w:type="pct"/>
            <w:shd w:val="clear" w:color="auto" w:fill="auto"/>
            <w:vAlign w:val="center"/>
          </w:tcPr>
          <w:p w:rsidR="00EE0378" w:rsidRPr="00C122C7" w:rsidRDefault="00EE0378" w:rsidP="00B168EB">
            <w:pPr>
              <w:pStyle w:val="Default"/>
              <w:keepNext/>
              <w:jc w:val="center"/>
              <w:rPr>
                <w:rFonts w:asciiTheme="minorHAnsi" w:hAnsiTheme="minorHAnsi" w:cstheme="minorHAnsi"/>
                <w:sz w:val="20"/>
                <w:szCs w:val="20"/>
              </w:rPr>
            </w:pPr>
            <w:r>
              <w:rPr>
                <w:rFonts w:asciiTheme="minorHAnsi" w:hAnsiTheme="minorHAnsi" w:cstheme="minorHAnsi"/>
                <w:sz w:val="20"/>
                <w:szCs w:val="20"/>
              </w:rPr>
              <w:t>Ordine degli Avvocati</w:t>
            </w:r>
          </w:p>
        </w:tc>
        <w:tc>
          <w:tcPr>
            <w:tcW w:w="1389" w:type="pct"/>
            <w:vAlign w:val="center"/>
          </w:tcPr>
          <w:p w:rsidR="00EE0378" w:rsidRPr="00C134E3" w:rsidRDefault="00EE0378" w:rsidP="00B168EB">
            <w:pPr>
              <w:keepNext/>
              <w:spacing w:after="0" w:line="240" w:lineRule="auto"/>
              <w:jc w:val="left"/>
              <w:rPr>
                <w:rFonts w:asciiTheme="minorHAnsi" w:hAnsiTheme="minorHAnsi" w:cstheme="minorHAnsi"/>
                <w:color w:val="000000"/>
                <w:sz w:val="20"/>
                <w:szCs w:val="20"/>
              </w:rPr>
            </w:pPr>
            <w:r w:rsidRPr="00C134E3">
              <w:rPr>
                <w:rFonts w:asciiTheme="minorHAnsi" w:hAnsiTheme="minorHAnsi" w:cstheme="minorHAnsi"/>
                <w:color w:val="000000"/>
                <w:sz w:val="20"/>
                <w:szCs w:val="20"/>
              </w:rPr>
              <w:t xml:space="preserve">Collaborazione con l’Ordine degli Avvocati nella fornitura di un’ulteriore pistola </w:t>
            </w:r>
            <w:proofErr w:type="spellStart"/>
            <w:r w:rsidRPr="00C134E3">
              <w:rPr>
                <w:rFonts w:asciiTheme="minorHAnsi" w:hAnsiTheme="minorHAnsi" w:cstheme="minorHAnsi"/>
                <w:i/>
                <w:color w:val="000000"/>
                <w:sz w:val="20"/>
                <w:szCs w:val="20"/>
              </w:rPr>
              <w:t>barcode</w:t>
            </w:r>
            <w:proofErr w:type="spellEnd"/>
            <w:r w:rsidRPr="00C134E3">
              <w:rPr>
                <w:rFonts w:asciiTheme="minorHAnsi" w:hAnsiTheme="minorHAnsi" w:cstheme="minorHAnsi"/>
                <w:i/>
                <w:color w:val="000000"/>
                <w:sz w:val="20"/>
                <w:szCs w:val="20"/>
              </w:rPr>
              <w:t xml:space="preserve"> </w:t>
            </w:r>
            <w:r w:rsidRPr="00C134E3">
              <w:rPr>
                <w:rFonts w:asciiTheme="minorHAnsi" w:hAnsiTheme="minorHAnsi" w:cstheme="minorHAnsi"/>
                <w:color w:val="000000"/>
                <w:sz w:val="20"/>
                <w:szCs w:val="20"/>
              </w:rPr>
              <w:t xml:space="preserve">per la scansione dei </w:t>
            </w:r>
            <w:proofErr w:type="spellStart"/>
            <w:r w:rsidRPr="00C134E3">
              <w:rPr>
                <w:rFonts w:asciiTheme="minorHAnsi" w:hAnsiTheme="minorHAnsi" w:cstheme="minorHAnsi"/>
                <w:color w:val="000000"/>
                <w:sz w:val="20"/>
                <w:szCs w:val="20"/>
              </w:rPr>
              <w:t>pre</w:t>
            </w:r>
            <w:proofErr w:type="spellEnd"/>
            <w:r w:rsidRPr="00C134E3">
              <w:rPr>
                <w:rFonts w:asciiTheme="minorHAnsi" w:hAnsiTheme="minorHAnsi" w:cstheme="minorHAnsi"/>
                <w:color w:val="000000"/>
                <w:sz w:val="20"/>
                <w:szCs w:val="20"/>
              </w:rPr>
              <w:t>-ricorsi presentati via web</w:t>
            </w:r>
          </w:p>
        </w:tc>
        <w:tc>
          <w:tcPr>
            <w:tcW w:w="1111" w:type="pct"/>
            <w:vAlign w:val="center"/>
          </w:tcPr>
          <w:p w:rsidR="00EE0378" w:rsidRPr="004441F9" w:rsidRDefault="00EE0378" w:rsidP="00B168EB">
            <w:pPr>
              <w:spacing w:after="0" w:line="240" w:lineRule="auto"/>
              <w:jc w:val="center"/>
              <w:rPr>
                <w:rFonts w:cs="Arial"/>
                <w:color w:val="000000"/>
                <w:sz w:val="18"/>
                <w:szCs w:val="18"/>
              </w:rPr>
            </w:pPr>
            <w:r>
              <w:rPr>
                <w:rFonts w:cs="Arial"/>
                <w:noProof/>
                <w:color w:val="000000"/>
                <w:sz w:val="18"/>
                <w:szCs w:val="18"/>
              </w:rPr>
              <w:drawing>
                <wp:inline distT="0" distB="0" distL="0" distR="0">
                  <wp:extent cx="190500" cy="476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476250"/>
                          </a:xfrm>
                          <a:prstGeom prst="rect">
                            <a:avLst/>
                          </a:prstGeom>
                          <a:noFill/>
                          <a:ln>
                            <a:noFill/>
                          </a:ln>
                        </pic:spPr>
                      </pic:pic>
                    </a:graphicData>
                  </a:graphic>
                </wp:inline>
              </w:drawing>
            </w:r>
          </w:p>
        </w:tc>
        <w:tc>
          <w:tcPr>
            <w:tcW w:w="1389" w:type="pct"/>
            <w:vAlign w:val="center"/>
          </w:tcPr>
          <w:p w:rsidR="00EE0378" w:rsidRPr="004441F9" w:rsidRDefault="00D611E0" w:rsidP="00D611E0">
            <w:pPr>
              <w:spacing w:after="0"/>
              <w:jc w:val="left"/>
              <w:rPr>
                <w:rFonts w:cs="Arial"/>
                <w:color w:val="000000"/>
                <w:sz w:val="20"/>
                <w:szCs w:val="20"/>
              </w:rPr>
            </w:pPr>
            <w:r>
              <w:rPr>
                <w:rFonts w:cs="Arial"/>
                <w:color w:val="000000"/>
                <w:sz w:val="20"/>
                <w:szCs w:val="20"/>
              </w:rPr>
              <w:t>E’ stato preso l’accordo con l’Ordine riguardo la fornitura ma ad oggi l’ulteriore pistola non è pervenuta in Ufficio</w:t>
            </w:r>
          </w:p>
        </w:tc>
      </w:tr>
      <w:tr w:rsidR="00EE0378" w:rsidRPr="00C86E80" w:rsidTr="00B168EB">
        <w:trPr>
          <w:trHeight w:val="1134"/>
          <w:jc w:val="center"/>
        </w:trPr>
        <w:tc>
          <w:tcPr>
            <w:tcW w:w="1111" w:type="pct"/>
            <w:shd w:val="clear" w:color="auto" w:fill="auto"/>
            <w:vAlign w:val="center"/>
          </w:tcPr>
          <w:p w:rsidR="00EE0378" w:rsidRDefault="00EE0378" w:rsidP="00B168EB">
            <w:pPr>
              <w:pStyle w:val="Default"/>
              <w:keepNext/>
              <w:jc w:val="center"/>
              <w:rPr>
                <w:rFonts w:asciiTheme="minorHAnsi" w:hAnsiTheme="minorHAnsi" w:cstheme="minorHAnsi"/>
                <w:sz w:val="20"/>
                <w:szCs w:val="20"/>
              </w:rPr>
            </w:pPr>
            <w:r>
              <w:rPr>
                <w:rFonts w:asciiTheme="minorHAnsi" w:hAnsiTheme="minorHAnsi" w:cstheme="minorHAnsi"/>
                <w:sz w:val="20"/>
                <w:szCs w:val="20"/>
              </w:rPr>
              <w:t>Ordine degli Avvocati</w:t>
            </w:r>
          </w:p>
          <w:p w:rsidR="00EE0378" w:rsidRDefault="00EE0378" w:rsidP="00B168EB">
            <w:pPr>
              <w:pStyle w:val="Default"/>
              <w:keepNext/>
              <w:jc w:val="center"/>
              <w:rPr>
                <w:rFonts w:asciiTheme="minorHAnsi" w:hAnsiTheme="minorHAnsi" w:cstheme="minorHAnsi"/>
                <w:sz w:val="20"/>
                <w:szCs w:val="20"/>
              </w:rPr>
            </w:pPr>
            <w:r>
              <w:rPr>
                <w:rFonts w:asciiTheme="minorHAnsi" w:hAnsiTheme="minorHAnsi" w:cstheme="minorHAnsi"/>
                <w:sz w:val="20"/>
                <w:szCs w:val="20"/>
              </w:rPr>
              <w:t>Prefettura</w:t>
            </w:r>
          </w:p>
          <w:p w:rsidR="00EE0378" w:rsidRDefault="00EE0378" w:rsidP="00B168EB">
            <w:pPr>
              <w:pStyle w:val="Default"/>
              <w:keepNext/>
              <w:jc w:val="center"/>
              <w:rPr>
                <w:rFonts w:asciiTheme="minorHAnsi" w:hAnsiTheme="minorHAnsi" w:cstheme="minorHAnsi"/>
                <w:sz w:val="20"/>
                <w:szCs w:val="20"/>
              </w:rPr>
            </w:pPr>
            <w:r>
              <w:rPr>
                <w:rFonts w:asciiTheme="minorHAnsi" w:hAnsiTheme="minorHAnsi" w:cstheme="minorHAnsi"/>
                <w:sz w:val="20"/>
                <w:szCs w:val="20"/>
              </w:rPr>
              <w:t xml:space="preserve">Polizia Locale </w:t>
            </w:r>
          </w:p>
        </w:tc>
        <w:tc>
          <w:tcPr>
            <w:tcW w:w="1389" w:type="pct"/>
            <w:vAlign w:val="center"/>
          </w:tcPr>
          <w:p w:rsidR="00EE0378" w:rsidRPr="00C134E3" w:rsidRDefault="00EE0378" w:rsidP="00B168EB">
            <w:pPr>
              <w:keepNext/>
              <w:spacing w:after="0" w:line="240" w:lineRule="auto"/>
              <w:jc w:val="left"/>
              <w:rPr>
                <w:rFonts w:asciiTheme="minorHAnsi" w:hAnsiTheme="minorHAnsi" w:cstheme="minorHAnsi"/>
                <w:color w:val="000000"/>
                <w:sz w:val="20"/>
                <w:szCs w:val="20"/>
              </w:rPr>
            </w:pPr>
            <w:r w:rsidRPr="00C134E3">
              <w:rPr>
                <w:sz w:val="20"/>
                <w:szCs w:val="20"/>
              </w:rPr>
              <w:t xml:space="preserve">Promozione e comunicazione del servizio telematico SIGP, volta ad aumentare il numero di </w:t>
            </w:r>
            <w:r w:rsidRPr="00C134E3">
              <w:rPr>
                <w:rFonts w:asciiTheme="minorHAnsi" w:hAnsiTheme="minorHAnsi" w:cstheme="minorHAnsi"/>
                <w:color w:val="000000"/>
                <w:sz w:val="20"/>
                <w:szCs w:val="20"/>
              </w:rPr>
              <w:t xml:space="preserve">ricorsi presentati in via telematica </w:t>
            </w:r>
            <w:r>
              <w:rPr>
                <w:rFonts w:asciiTheme="minorHAnsi" w:hAnsiTheme="minorHAnsi" w:cstheme="minorHAnsi"/>
                <w:color w:val="000000"/>
                <w:sz w:val="20"/>
                <w:szCs w:val="20"/>
              </w:rPr>
              <w:t>sgravando le cancellerie di lavoro</w:t>
            </w:r>
          </w:p>
        </w:tc>
        <w:tc>
          <w:tcPr>
            <w:tcW w:w="1111" w:type="pct"/>
            <w:vAlign w:val="center"/>
          </w:tcPr>
          <w:p w:rsidR="00EE0378" w:rsidRDefault="00EE0378" w:rsidP="00B168EB">
            <w:pPr>
              <w:spacing w:after="0" w:line="240" w:lineRule="auto"/>
              <w:jc w:val="center"/>
              <w:rPr>
                <w:rFonts w:cs="Arial"/>
                <w:color w:val="000000"/>
                <w:sz w:val="18"/>
                <w:szCs w:val="18"/>
              </w:rPr>
            </w:pPr>
            <w:r>
              <w:rPr>
                <w:rFonts w:cs="Arial"/>
                <w:noProof/>
                <w:color w:val="000000"/>
                <w:sz w:val="18"/>
                <w:szCs w:val="18"/>
              </w:rPr>
              <w:drawing>
                <wp:inline distT="0" distB="0" distL="0" distR="0" wp14:anchorId="125E8C15" wp14:editId="5030C789">
                  <wp:extent cx="190500" cy="495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EE0378" w:rsidRPr="004441F9" w:rsidRDefault="00D611E0" w:rsidP="00B168EB">
            <w:pPr>
              <w:spacing w:after="0"/>
              <w:jc w:val="left"/>
              <w:rPr>
                <w:rFonts w:cs="Arial"/>
                <w:color w:val="000000"/>
                <w:sz w:val="20"/>
                <w:szCs w:val="20"/>
              </w:rPr>
            </w:pPr>
            <w:r>
              <w:rPr>
                <w:rFonts w:cs="Arial"/>
                <w:color w:val="000000"/>
                <w:sz w:val="20"/>
                <w:szCs w:val="20"/>
              </w:rPr>
              <w:t>Pubblicizzazione del SIGP per gli utenti effettuata attraverso comunicazione sul sito web, volantini e conferenza stampa</w:t>
            </w:r>
          </w:p>
        </w:tc>
      </w:tr>
    </w:tbl>
    <w:p w:rsidR="00EE0378" w:rsidRDefault="00EE0378" w:rsidP="00204B74">
      <w:pPr>
        <w:keepNext/>
        <w:rPr>
          <w:rFonts w:eastAsia="Calibri"/>
          <w:b/>
          <w:color w:val="00B050"/>
          <w:u w:val="single"/>
        </w:rPr>
      </w:pPr>
    </w:p>
    <w:p w:rsidR="00204B74" w:rsidRDefault="00204B74" w:rsidP="00204B74">
      <w:pPr>
        <w:rPr>
          <w:rFonts w:eastAsia="Calibri"/>
          <w:b/>
          <w:color w:val="00B050"/>
          <w:u w:val="single"/>
        </w:rPr>
      </w:pPr>
    </w:p>
    <w:p w:rsidR="00204B74" w:rsidRDefault="00204B74" w:rsidP="00204B74">
      <w:pPr>
        <w:rPr>
          <w:rFonts w:eastAsia="Calibri"/>
          <w:b/>
          <w:color w:val="00B050"/>
          <w:u w:val="single"/>
        </w:rPr>
      </w:pPr>
      <w:r w:rsidRPr="00E1477C">
        <w:rPr>
          <w:rFonts w:eastAsia="Calibri"/>
          <w:b/>
          <w:color w:val="00B050"/>
          <w:u w:val="single"/>
        </w:rPr>
        <w:lastRenderedPageBreak/>
        <w:t xml:space="preserve">Miglioramento </w:t>
      </w:r>
      <w:r>
        <w:rPr>
          <w:rFonts w:eastAsia="Calibri"/>
          <w:b/>
          <w:color w:val="00B050"/>
          <w:u w:val="single"/>
        </w:rPr>
        <w:t>informazione</w:t>
      </w:r>
    </w:p>
    <w:tbl>
      <w:tblPr>
        <w:tblW w:w="5215" w:type="pct"/>
        <w:jc w:val="center"/>
        <w:tblInd w:w="365" w:type="dxa"/>
        <w:tblBorders>
          <w:top w:val="dotted" w:sz="4" w:space="0" w:color="008000"/>
          <w:left w:val="dotted" w:sz="4" w:space="0" w:color="008000"/>
          <w:bottom w:val="dotted" w:sz="4" w:space="0" w:color="008000"/>
          <w:right w:val="dotted" w:sz="4" w:space="0" w:color="008000"/>
          <w:insideH w:val="dotted" w:sz="4" w:space="0" w:color="008000"/>
          <w:insideV w:val="dotted" w:sz="4" w:space="0" w:color="008000"/>
        </w:tblBorders>
        <w:tblLayout w:type="fixed"/>
        <w:tblCellMar>
          <w:left w:w="70" w:type="dxa"/>
          <w:right w:w="70" w:type="dxa"/>
        </w:tblCellMar>
        <w:tblLook w:val="04A0" w:firstRow="1" w:lastRow="0" w:firstColumn="1" w:lastColumn="0" w:noHBand="0" w:noVBand="1"/>
      </w:tblPr>
      <w:tblGrid>
        <w:gridCol w:w="2266"/>
        <w:gridCol w:w="2833"/>
        <w:gridCol w:w="2266"/>
        <w:gridCol w:w="2833"/>
      </w:tblGrid>
      <w:tr w:rsidR="00D611E0" w:rsidRPr="00522DBF" w:rsidTr="00B168EB">
        <w:trPr>
          <w:trHeight w:val="1134"/>
          <w:tblHeader/>
          <w:jc w:val="center"/>
        </w:trPr>
        <w:tc>
          <w:tcPr>
            <w:tcW w:w="1111" w:type="pct"/>
            <w:shd w:val="clear" w:color="auto" w:fill="008000"/>
            <w:vAlign w:val="center"/>
            <w:hideMark/>
          </w:tcPr>
          <w:p w:rsidR="00D611E0" w:rsidRPr="007E4743" w:rsidRDefault="00D611E0" w:rsidP="00B168EB">
            <w:pPr>
              <w:spacing w:after="0" w:line="240" w:lineRule="auto"/>
              <w:jc w:val="center"/>
              <w:rPr>
                <w:rFonts w:cs="Arial"/>
                <w:b/>
                <w:bCs/>
                <w:color w:val="FFFFFF"/>
                <w:szCs w:val="28"/>
              </w:rPr>
            </w:pPr>
            <w:r w:rsidRPr="007E4743">
              <w:rPr>
                <w:rFonts w:cs="Arial"/>
                <w:b/>
                <w:bCs/>
                <w:color w:val="FFFFFF"/>
                <w:szCs w:val="28"/>
              </w:rPr>
              <w:t>Stakeholder di riferimento</w:t>
            </w:r>
          </w:p>
        </w:tc>
        <w:tc>
          <w:tcPr>
            <w:tcW w:w="1389" w:type="pct"/>
            <w:shd w:val="clear" w:color="auto" w:fill="008000"/>
            <w:vAlign w:val="center"/>
          </w:tcPr>
          <w:p w:rsidR="00D611E0" w:rsidRPr="007E4743" w:rsidRDefault="00D611E0" w:rsidP="00B168EB">
            <w:pPr>
              <w:spacing w:after="0" w:line="240" w:lineRule="auto"/>
              <w:jc w:val="center"/>
              <w:rPr>
                <w:rFonts w:cs="Arial"/>
                <w:b/>
                <w:bCs/>
                <w:color w:val="FFFFFF"/>
                <w:szCs w:val="28"/>
              </w:rPr>
            </w:pPr>
            <w:r w:rsidRPr="007E4743">
              <w:rPr>
                <w:rFonts w:cs="Arial"/>
                <w:b/>
                <w:bCs/>
                <w:color w:val="FFFFFF"/>
                <w:szCs w:val="28"/>
              </w:rPr>
              <w:t>Azione programmata</w:t>
            </w:r>
          </w:p>
        </w:tc>
        <w:tc>
          <w:tcPr>
            <w:tcW w:w="1111" w:type="pct"/>
            <w:shd w:val="clear" w:color="auto" w:fill="008000"/>
            <w:vAlign w:val="center"/>
          </w:tcPr>
          <w:p w:rsidR="00D611E0" w:rsidRPr="00522DBF" w:rsidRDefault="00D611E0" w:rsidP="00B168EB">
            <w:pPr>
              <w:spacing w:after="0" w:line="240" w:lineRule="auto"/>
              <w:jc w:val="center"/>
              <w:rPr>
                <w:rFonts w:cs="Arial"/>
                <w:b/>
                <w:bCs/>
                <w:color w:val="FFFFFF"/>
                <w:szCs w:val="28"/>
              </w:rPr>
            </w:pPr>
            <w:r>
              <w:rPr>
                <w:rFonts w:cs="Arial"/>
                <w:b/>
                <w:bCs/>
                <w:color w:val="FFFFFF"/>
                <w:szCs w:val="28"/>
              </w:rPr>
              <w:t>Grado di raggiungimento</w:t>
            </w:r>
          </w:p>
        </w:tc>
        <w:tc>
          <w:tcPr>
            <w:tcW w:w="1389" w:type="pct"/>
            <w:shd w:val="clear" w:color="auto" w:fill="008000"/>
            <w:vAlign w:val="center"/>
          </w:tcPr>
          <w:p w:rsidR="00D611E0" w:rsidRDefault="00D611E0" w:rsidP="00B168EB">
            <w:pPr>
              <w:spacing w:after="0" w:line="240" w:lineRule="auto"/>
              <w:jc w:val="center"/>
              <w:rPr>
                <w:rFonts w:cs="Arial"/>
                <w:b/>
                <w:bCs/>
                <w:color w:val="FFFFFF"/>
                <w:szCs w:val="28"/>
              </w:rPr>
            </w:pPr>
            <w:r>
              <w:rPr>
                <w:rFonts w:cs="Arial"/>
                <w:b/>
                <w:bCs/>
                <w:color w:val="FFFFFF"/>
                <w:szCs w:val="28"/>
              </w:rPr>
              <w:t>Osservazioni</w:t>
            </w:r>
          </w:p>
        </w:tc>
      </w:tr>
      <w:tr w:rsidR="00D611E0" w:rsidRPr="00C86E80" w:rsidTr="00B168EB">
        <w:trPr>
          <w:trHeight w:val="1134"/>
          <w:jc w:val="center"/>
        </w:trPr>
        <w:tc>
          <w:tcPr>
            <w:tcW w:w="1111" w:type="pct"/>
            <w:shd w:val="clear" w:color="auto" w:fill="auto"/>
            <w:vAlign w:val="center"/>
          </w:tcPr>
          <w:p w:rsidR="00D611E0" w:rsidRDefault="00D611E0" w:rsidP="00B168EB">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Cittadini</w:t>
            </w:r>
          </w:p>
          <w:p w:rsidR="00D611E0" w:rsidRDefault="00D611E0" w:rsidP="00B168EB">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Tribunale Ordinario</w:t>
            </w:r>
          </w:p>
          <w:p w:rsidR="00D611E0" w:rsidRDefault="00D611E0" w:rsidP="00B168EB">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Pr="00E90BB7">
              <w:rPr>
                <w:rFonts w:asciiTheme="minorHAnsi" w:hAnsiTheme="minorHAnsi" w:cstheme="minorHAnsi"/>
                <w:color w:val="000000"/>
                <w:sz w:val="20"/>
                <w:szCs w:val="20"/>
              </w:rPr>
              <w:t>Procura della Repubblica</w:t>
            </w:r>
          </w:p>
          <w:p w:rsidR="00D611E0" w:rsidRDefault="00D611E0" w:rsidP="00B168EB">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Prefettura </w:t>
            </w:r>
          </w:p>
          <w:p w:rsidR="00D611E0" w:rsidRDefault="00D611E0" w:rsidP="00B168EB">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Questura</w:t>
            </w:r>
          </w:p>
          <w:p w:rsidR="00D611E0" w:rsidRPr="00C122C7" w:rsidRDefault="00D611E0" w:rsidP="00B168EB">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Ordine degli Avvocati</w:t>
            </w:r>
          </w:p>
        </w:tc>
        <w:tc>
          <w:tcPr>
            <w:tcW w:w="1389" w:type="pct"/>
            <w:vAlign w:val="center"/>
          </w:tcPr>
          <w:p w:rsidR="00D611E0" w:rsidRPr="00C122C7" w:rsidRDefault="00D611E0" w:rsidP="00B168EB">
            <w:pPr>
              <w:spacing w:after="0" w:line="240" w:lineRule="auto"/>
              <w:jc w:val="left"/>
              <w:rPr>
                <w:rFonts w:asciiTheme="minorHAnsi" w:hAnsiTheme="minorHAnsi" w:cstheme="minorHAnsi"/>
                <w:color w:val="000000"/>
                <w:sz w:val="20"/>
                <w:szCs w:val="20"/>
              </w:rPr>
            </w:pPr>
            <w:r w:rsidRPr="00C134E3">
              <w:rPr>
                <w:sz w:val="20"/>
                <w:szCs w:val="20"/>
              </w:rPr>
              <w:t xml:space="preserve">Promozione e comunicazione del </w:t>
            </w:r>
            <w:r>
              <w:rPr>
                <w:sz w:val="20"/>
                <w:szCs w:val="20"/>
              </w:rPr>
              <w:t xml:space="preserve">sito internet </w:t>
            </w:r>
            <w:r>
              <w:rPr>
                <w:rFonts w:asciiTheme="minorHAnsi" w:hAnsiTheme="minorHAnsi" w:cstheme="minorHAnsi"/>
                <w:color w:val="000000"/>
                <w:sz w:val="20"/>
                <w:szCs w:val="20"/>
              </w:rPr>
              <w:t>del Giudice di Pace di Vicenza attraverso cartellonistica e volantini</w:t>
            </w:r>
            <w:r w:rsidRPr="00C134E3">
              <w:rPr>
                <w:sz w:val="20"/>
                <w:szCs w:val="20"/>
              </w:rPr>
              <w:t xml:space="preserve">, volta ad aumentare </w:t>
            </w:r>
            <w:r>
              <w:rPr>
                <w:sz w:val="20"/>
                <w:szCs w:val="20"/>
              </w:rPr>
              <w:t>la conoscenza e diffondere i servizi e la modulistica dell’Ufficio</w:t>
            </w:r>
          </w:p>
        </w:tc>
        <w:tc>
          <w:tcPr>
            <w:tcW w:w="1111" w:type="pct"/>
            <w:vAlign w:val="center"/>
          </w:tcPr>
          <w:p w:rsidR="00D611E0" w:rsidRPr="001C72C0" w:rsidRDefault="00D611E0" w:rsidP="00B168EB">
            <w:pPr>
              <w:spacing w:after="0" w:line="240" w:lineRule="auto"/>
              <w:jc w:val="center"/>
              <w:rPr>
                <w:rFonts w:cs="Arial"/>
                <w:color w:val="000000"/>
                <w:sz w:val="18"/>
                <w:szCs w:val="18"/>
              </w:rPr>
            </w:pPr>
            <w:r>
              <w:rPr>
                <w:rFonts w:cs="Arial"/>
                <w:noProof/>
                <w:color w:val="000000"/>
                <w:sz w:val="18"/>
                <w:szCs w:val="18"/>
              </w:rPr>
              <w:drawing>
                <wp:inline distT="0" distB="0" distL="0" distR="0" wp14:anchorId="01DB820E" wp14:editId="5D18F6D3">
                  <wp:extent cx="190500" cy="495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D611E0" w:rsidRPr="004441F9" w:rsidRDefault="00D611E0" w:rsidP="00D611E0">
            <w:pPr>
              <w:spacing w:after="0" w:line="240" w:lineRule="auto"/>
              <w:jc w:val="left"/>
              <w:rPr>
                <w:rFonts w:cs="Arial"/>
                <w:color w:val="000000"/>
                <w:sz w:val="20"/>
                <w:szCs w:val="20"/>
              </w:rPr>
            </w:pPr>
            <w:r>
              <w:rPr>
                <w:rFonts w:cs="Arial"/>
                <w:color w:val="000000"/>
                <w:sz w:val="20"/>
                <w:szCs w:val="20"/>
              </w:rPr>
              <w:t>Pubblicizzazione del sito attraverso conferenza stampa e volantini diffusi all’utenza</w:t>
            </w:r>
          </w:p>
        </w:tc>
      </w:tr>
      <w:tr w:rsidR="00D611E0" w:rsidRPr="00C86E80" w:rsidTr="00B168EB">
        <w:trPr>
          <w:trHeight w:val="1134"/>
          <w:jc w:val="center"/>
        </w:trPr>
        <w:tc>
          <w:tcPr>
            <w:tcW w:w="1111" w:type="pct"/>
            <w:shd w:val="clear" w:color="auto" w:fill="auto"/>
            <w:vAlign w:val="center"/>
          </w:tcPr>
          <w:p w:rsidR="00D611E0" w:rsidRDefault="00D611E0" w:rsidP="00B168EB">
            <w:pPr>
              <w:pStyle w:val="Default"/>
              <w:jc w:val="center"/>
              <w:rPr>
                <w:rFonts w:asciiTheme="minorHAnsi" w:hAnsiTheme="minorHAnsi" w:cstheme="minorHAnsi"/>
                <w:sz w:val="20"/>
                <w:szCs w:val="20"/>
              </w:rPr>
            </w:pPr>
            <w:r>
              <w:rPr>
                <w:rFonts w:asciiTheme="minorHAnsi" w:hAnsiTheme="minorHAnsi" w:cstheme="minorHAnsi"/>
                <w:sz w:val="20"/>
                <w:szCs w:val="20"/>
              </w:rPr>
              <w:t>Polizia Locale</w:t>
            </w:r>
          </w:p>
          <w:p w:rsidR="00D611E0" w:rsidRPr="00C122C7" w:rsidRDefault="00D611E0" w:rsidP="00B168EB">
            <w:pPr>
              <w:pStyle w:val="Default"/>
              <w:jc w:val="center"/>
              <w:rPr>
                <w:rFonts w:asciiTheme="minorHAnsi" w:hAnsiTheme="minorHAnsi" w:cstheme="minorHAnsi"/>
                <w:sz w:val="20"/>
                <w:szCs w:val="20"/>
              </w:rPr>
            </w:pPr>
            <w:r>
              <w:rPr>
                <w:rFonts w:asciiTheme="minorHAnsi" w:hAnsiTheme="minorHAnsi" w:cstheme="minorHAnsi"/>
                <w:sz w:val="20"/>
                <w:szCs w:val="20"/>
              </w:rPr>
              <w:t>Comune di Vicenza</w:t>
            </w:r>
          </w:p>
        </w:tc>
        <w:tc>
          <w:tcPr>
            <w:tcW w:w="1389" w:type="pct"/>
            <w:vAlign w:val="center"/>
          </w:tcPr>
          <w:p w:rsidR="00D611E0" w:rsidRPr="00C122C7" w:rsidRDefault="00D611E0" w:rsidP="00B168EB">
            <w:pPr>
              <w:spacing w:after="0" w:line="240" w:lineRule="auto"/>
              <w:jc w:val="left"/>
              <w:rPr>
                <w:rFonts w:asciiTheme="minorHAnsi" w:hAnsiTheme="minorHAnsi" w:cstheme="minorHAnsi"/>
                <w:color w:val="000000"/>
                <w:sz w:val="20"/>
                <w:szCs w:val="20"/>
              </w:rPr>
            </w:pPr>
            <w:r w:rsidRPr="00C134E3">
              <w:rPr>
                <w:sz w:val="20"/>
                <w:szCs w:val="20"/>
              </w:rPr>
              <w:t xml:space="preserve">Promozione e comunicazione del </w:t>
            </w:r>
            <w:r>
              <w:rPr>
                <w:sz w:val="20"/>
                <w:szCs w:val="20"/>
              </w:rPr>
              <w:t xml:space="preserve">sito internet </w:t>
            </w:r>
            <w:r>
              <w:rPr>
                <w:rFonts w:asciiTheme="minorHAnsi" w:hAnsiTheme="minorHAnsi" w:cstheme="minorHAnsi"/>
                <w:color w:val="000000"/>
                <w:sz w:val="20"/>
                <w:szCs w:val="20"/>
              </w:rPr>
              <w:t>del Giudice di Pace di Vicenza attraverso link nei siti della Polizia Locale e del Comune di Vicenza</w:t>
            </w:r>
          </w:p>
        </w:tc>
        <w:tc>
          <w:tcPr>
            <w:tcW w:w="1111" w:type="pct"/>
            <w:vAlign w:val="center"/>
          </w:tcPr>
          <w:p w:rsidR="00D611E0" w:rsidRDefault="00D611E0" w:rsidP="00B168EB">
            <w:pPr>
              <w:spacing w:after="0" w:line="240" w:lineRule="auto"/>
              <w:jc w:val="center"/>
              <w:rPr>
                <w:rFonts w:cs="Arial"/>
                <w:color w:val="000000"/>
                <w:sz w:val="18"/>
                <w:szCs w:val="18"/>
              </w:rPr>
            </w:pPr>
            <w:r>
              <w:rPr>
                <w:rFonts w:cs="Arial"/>
                <w:noProof/>
                <w:color w:val="000000"/>
                <w:sz w:val="18"/>
                <w:szCs w:val="18"/>
              </w:rPr>
              <w:drawing>
                <wp:inline distT="0" distB="0" distL="0" distR="0" wp14:anchorId="7BB87E69" wp14:editId="6FD6820B">
                  <wp:extent cx="190500" cy="495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D611E0" w:rsidRPr="004441F9" w:rsidRDefault="00D611E0" w:rsidP="00B168EB">
            <w:pPr>
              <w:spacing w:after="0" w:line="240" w:lineRule="auto"/>
              <w:jc w:val="left"/>
              <w:rPr>
                <w:rFonts w:cs="Arial"/>
                <w:color w:val="000000"/>
                <w:sz w:val="20"/>
                <w:szCs w:val="20"/>
              </w:rPr>
            </w:pPr>
            <w:r>
              <w:rPr>
                <w:rFonts w:cs="Arial"/>
                <w:color w:val="000000"/>
                <w:sz w:val="20"/>
                <w:szCs w:val="20"/>
              </w:rPr>
              <w:t>Pubblicizzazione del sito attraverso conferenza stampa e volantini diffusi all’utenza</w:t>
            </w:r>
          </w:p>
        </w:tc>
      </w:tr>
      <w:tr w:rsidR="00D611E0" w:rsidRPr="00C86E80" w:rsidTr="00B168EB">
        <w:trPr>
          <w:trHeight w:val="1134"/>
          <w:jc w:val="center"/>
        </w:trPr>
        <w:tc>
          <w:tcPr>
            <w:tcW w:w="1111" w:type="pct"/>
            <w:shd w:val="clear" w:color="auto" w:fill="auto"/>
            <w:vAlign w:val="center"/>
          </w:tcPr>
          <w:p w:rsidR="00D611E0" w:rsidRPr="00C122C7" w:rsidRDefault="00D611E0" w:rsidP="00B168EB">
            <w:pPr>
              <w:pStyle w:val="Default"/>
              <w:jc w:val="center"/>
              <w:rPr>
                <w:rFonts w:asciiTheme="minorHAnsi" w:hAnsiTheme="minorHAnsi" w:cstheme="minorHAnsi"/>
                <w:sz w:val="20"/>
                <w:szCs w:val="20"/>
              </w:rPr>
            </w:pPr>
            <w:r>
              <w:rPr>
                <w:rFonts w:asciiTheme="minorHAnsi" w:hAnsiTheme="minorHAnsi" w:cstheme="minorHAnsi"/>
                <w:sz w:val="20"/>
                <w:szCs w:val="20"/>
              </w:rPr>
              <w:t>Ordine degli Avvocati</w:t>
            </w:r>
          </w:p>
        </w:tc>
        <w:tc>
          <w:tcPr>
            <w:tcW w:w="1389" w:type="pct"/>
            <w:vAlign w:val="center"/>
          </w:tcPr>
          <w:p w:rsidR="00D611E0" w:rsidRDefault="00D611E0" w:rsidP="00B168EB">
            <w:pPr>
              <w:spacing w:after="0" w:line="240" w:lineRule="auto"/>
              <w:jc w:val="left"/>
              <w:rPr>
                <w:rFonts w:asciiTheme="minorHAnsi" w:hAnsiTheme="minorHAnsi" w:cstheme="minorHAnsi"/>
                <w:color w:val="000000"/>
                <w:sz w:val="20"/>
                <w:szCs w:val="20"/>
              </w:rPr>
            </w:pPr>
            <w:r w:rsidRPr="00C134E3">
              <w:rPr>
                <w:sz w:val="20"/>
                <w:szCs w:val="20"/>
              </w:rPr>
              <w:t xml:space="preserve">Promozione e comunicazione del </w:t>
            </w:r>
            <w:r>
              <w:rPr>
                <w:sz w:val="20"/>
                <w:szCs w:val="20"/>
              </w:rPr>
              <w:t xml:space="preserve">sito internet </w:t>
            </w:r>
            <w:r>
              <w:rPr>
                <w:rFonts w:asciiTheme="minorHAnsi" w:hAnsiTheme="minorHAnsi" w:cstheme="minorHAnsi"/>
                <w:color w:val="000000"/>
                <w:sz w:val="20"/>
                <w:szCs w:val="20"/>
              </w:rPr>
              <w:t>del Giudice di Pace di Vicenza attraverso link nel sito dell’Ordine degli Avvocati di Vicenza</w:t>
            </w:r>
          </w:p>
        </w:tc>
        <w:tc>
          <w:tcPr>
            <w:tcW w:w="1111" w:type="pct"/>
            <w:vAlign w:val="center"/>
          </w:tcPr>
          <w:p w:rsidR="00D611E0" w:rsidRPr="004441F9" w:rsidRDefault="00186944" w:rsidP="00B168EB">
            <w:pPr>
              <w:spacing w:after="0" w:line="240" w:lineRule="auto"/>
              <w:jc w:val="center"/>
              <w:rPr>
                <w:rFonts w:cs="Arial"/>
                <w:color w:val="000000"/>
                <w:sz w:val="18"/>
                <w:szCs w:val="18"/>
              </w:rPr>
            </w:pPr>
            <w:r>
              <w:rPr>
                <w:rFonts w:cs="Arial"/>
                <w:noProof/>
                <w:color w:val="000000"/>
                <w:sz w:val="18"/>
                <w:szCs w:val="18"/>
              </w:rPr>
              <w:drawing>
                <wp:inline distT="0" distB="0" distL="0" distR="0" wp14:anchorId="7C7B93BF" wp14:editId="2BE00B50">
                  <wp:extent cx="190500" cy="4953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D611E0" w:rsidRPr="004441F9" w:rsidRDefault="00186944" w:rsidP="00B168EB">
            <w:pPr>
              <w:spacing w:after="0"/>
              <w:jc w:val="left"/>
              <w:rPr>
                <w:rFonts w:cs="Arial"/>
                <w:color w:val="000000"/>
                <w:sz w:val="20"/>
                <w:szCs w:val="20"/>
              </w:rPr>
            </w:pPr>
            <w:r>
              <w:rPr>
                <w:rFonts w:cs="Arial"/>
                <w:color w:val="000000"/>
                <w:sz w:val="20"/>
                <w:szCs w:val="20"/>
              </w:rPr>
              <w:t>Sito del Giudice di Pace correttamente pubblicizzato verso l’Ordine</w:t>
            </w:r>
          </w:p>
        </w:tc>
      </w:tr>
      <w:tr w:rsidR="00D611E0" w:rsidRPr="00C86E80" w:rsidTr="00B168EB">
        <w:trPr>
          <w:trHeight w:val="1134"/>
          <w:jc w:val="center"/>
        </w:trPr>
        <w:tc>
          <w:tcPr>
            <w:tcW w:w="1111" w:type="pct"/>
            <w:shd w:val="clear" w:color="auto" w:fill="auto"/>
            <w:vAlign w:val="center"/>
          </w:tcPr>
          <w:p w:rsidR="00D611E0" w:rsidRDefault="00D611E0" w:rsidP="00B168EB">
            <w:pPr>
              <w:pStyle w:val="Default"/>
              <w:keepNext/>
              <w:jc w:val="center"/>
              <w:rPr>
                <w:rFonts w:asciiTheme="minorHAnsi" w:hAnsiTheme="minorHAnsi" w:cstheme="minorHAnsi"/>
                <w:sz w:val="20"/>
                <w:szCs w:val="20"/>
              </w:rPr>
            </w:pPr>
            <w:r>
              <w:rPr>
                <w:rFonts w:asciiTheme="minorHAnsi" w:hAnsiTheme="minorHAnsi" w:cstheme="minorHAnsi"/>
                <w:sz w:val="20"/>
                <w:szCs w:val="20"/>
              </w:rPr>
              <w:t xml:space="preserve">Cittadini </w:t>
            </w:r>
          </w:p>
          <w:p w:rsidR="00D611E0" w:rsidRDefault="00D611E0" w:rsidP="00B168EB">
            <w:pPr>
              <w:pStyle w:val="Default"/>
              <w:keepNext/>
              <w:jc w:val="center"/>
              <w:rPr>
                <w:rFonts w:asciiTheme="minorHAnsi" w:hAnsiTheme="minorHAnsi" w:cstheme="minorHAnsi"/>
                <w:sz w:val="20"/>
                <w:szCs w:val="20"/>
              </w:rPr>
            </w:pPr>
            <w:r>
              <w:rPr>
                <w:rFonts w:asciiTheme="minorHAnsi" w:hAnsiTheme="minorHAnsi" w:cstheme="minorHAnsi"/>
                <w:sz w:val="20"/>
                <w:szCs w:val="20"/>
              </w:rPr>
              <w:t>Ordine degli Avvocati</w:t>
            </w:r>
          </w:p>
          <w:p w:rsidR="00D611E0" w:rsidRDefault="00D611E0" w:rsidP="00B168EB">
            <w:pPr>
              <w:pStyle w:val="Default"/>
              <w:keepNext/>
              <w:jc w:val="center"/>
              <w:rPr>
                <w:rFonts w:asciiTheme="minorHAnsi" w:hAnsiTheme="minorHAnsi" w:cstheme="minorHAnsi"/>
                <w:sz w:val="20"/>
                <w:szCs w:val="20"/>
              </w:rPr>
            </w:pPr>
            <w:r>
              <w:rPr>
                <w:rFonts w:asciiTheme="minorHAnsi" w:hAnsiTheme="minorHAnsi" w:cstheme="minorHAnsi"/>
                <w:sz w:val="20"/>
                <w:szCs w:val="20"/>
              </w:rPr>
              <w:t>Tribunale Ordinario</w:t>
            </w:r>
          </w:p>
          <w:p w:rsidR="00D611E0" w:rsidRPr="00E90BB7" w:rsidRDefault="00D611E0" w:rsidP="00B168EB">
            <w:pPr>
              <w:pStyle w:val="Default"/>
              <w:keepNext/>
              <w:jc w:val="center"/>
              <w:rPr>
                <w:rFonts w:asciiTheme="minorHAnsi" w:hAnsiTheme="minorHAnsi" w:cstheme="minorHAnsi"/>
                <w:sz w:val="20"/>
                <w:szCs w:val="20"/>
              </w:rPr>
            </w:pPr>
            <w:r w:rsidRPr="00E90BB7">
              <w:rPr>
                <w:rFonts w:asciiTheme="minorHAnsi" w:hAnsiTheme="minorHAnsi" w:cstheme="minorHAnsi"/>
                <w:sz w:val="20"/>
                <w:szCs w:val="20"/>
              </w:rPr>
              <w:t>Procura della Repubblica</w:t>
            </w:r>
          </w:p>
          <w:p w:rsidR="00D611E0" w:rsidRPr="00E90BB7" w:rsidRDefault="00D611E0" w:rsidP="00B168EB">
            <w:pPr>
              <w:pStyle w:val="Default"/>
              <w:keepNext/>
              <w:jc w:val="center"/>
              <w:rPr>
                <w:rFonts w:asciiTheme="minorHAnsi" w:hAnsiTheme="minorHAnsi" w:cstheme="minorHAnsi"/>
                <w:sz w:val="20"/>
                <w:szCs w:val="20"/>
              </w:rPr>
            </w:pPr>
            <w:r w:rsidRPr="00E90BB7">
              <w:rPr>
                <w:rFonts w:asciiTheme="minorHAnsi" w:hAnsiTheme="minorHAnsi" w:cstheme="minorHAnsi"/>
                <w:sz w:val="20"/>
                <w:szCs w:val="20"/>
              </w:rPr>
              <w:t>Polizia locale</w:t>
            </w:r>
          </w:p>
          <w:p w:rsidR="00D611E0" w:rsidRPr="00C122C7" w:rsidRDefault="00D611E0" w:rsidP="00B168EB">
            <w:pPr>
              <w:pStyle w:val="Default"/>
              <w:keepNext/>
              <w:jc w:val="center"/>
              <w:rPr>
                <w:rFonts w:asciiTheme="minorHAnsi" w:hAnsiTheme="minorHAnsi" w:cstheme="minorHAnsi"/>
                <w:sz w:val="20"/>
                <w:szCs w:val="20"/>
              </w:rPr>
            </w:pPr>
            <w:r w:rsidRPr="00E90BB7">
              <w:rPr>
                <w:rFonts w:asciiTheme="minorHAnsi" w:hAnsiTheme="minorHAnsi" w:cstheme="minorHAnsi"/>
                <w:sz w:val="20"/>
                <w:szCs w:val="20"/>
              </w:rPr>
              <w:t>Questura</w:t>
            </w:r>
          </w:p>
        </w:tc>
        <w:tc>
          <w:tcPr>
            <w:tcW w:w="1389" w:type="pct"/>
            <w:vAlign w:val="center"/>
          </w:tcPr>
          <w:p w:rsidR="00D611E0" w:rsidRPr="00C122C7" w:rsidRDefault="00D611E0" w:rsidP="00B168EB">
            <w:pPr>
              <w:keepNext/>
              <w:spacing w:after="0" w:line="240" w:lineRule="auto"/>
              <w:jc w:val="left"/>
              <w:rPr>
                <w:rFonts w:asciiTheme="minorHAnsi" w:hAnsiTheme="minorHAnsi" w:cstheme="minorHAnsi"/>
                <w:color w:val="000000"/>
                <w:sz w:val="20"/>
                <w:szCs w:val="20"/>
              </w:rPr>
            </w:pPr>
            <w:r w:rsidRPr="00C134E3">
              <w:rPr>
                <w:sz w:val="20"/>
                <w:szCs w:val="20"/>
              </w:rPr>
              <w:t xml:space="preserve">Promozione e comunicazione </w:t>
            </w:r>
            <w:r>
              <w:rPr>
                <w:rFonts w:asciiTheme="minorHAnsi" w:hAnsiTheme="minorHAnsi" w:cstheme="minorHAnsi"/>
                <w:color w:val="000000"/>
                <w:sz w:val="20"/>
                <w:szCs w:val="20"/>
              </w:rPr>
              <w:t>della Carta dei Servizi del Giudice di Pace, elaborata per far conoscere i servizi e le modalità per usufruirne</w:t>
            </w:r>
          </w:p>
        </w:tc>
        <w:tc>
          <w:tcPr>
            <w:tcW w:w="1111" w:type="pct"/>
            <w:vAlign w:val="center"/>
          </w:tcPr>
          <w:p w:rsidR="00D611E0" w:rsidRDefault="00D611E0" w:rsidP="00B168EB">
            <w:pPr>
              <w:spacing w:after="0" w:line="240" w:lineRule="auto"/>
              <w:jc w:val="center"/>
              <w:rPr>
                <w:rFonts w:cs="Arial"/>
                <w:noProof/>
                <w:color w:val="000000"/>
                <w:sz w:val="18"/>
                <w:szCs w:val="18"/>
              </w:rPr>
            </w:pPr>
            <w:r>
              <w:rPr>
                <w:rFonts w:cs="Arial"/>
                <w:noProof/>
                <w:color w:val="000000"/>
                <w:sz w:val="18"/>
                <w:szCs w:val="18"/>
              </w:rPr>
              <w:drawing>
                <wp:inline distT="0" distB="0" distL="0" distR="0" wp14:anchorId="7BB87E69" wp14:editId="6FD6820B">
                  <wp:extent cx="190500" cy="495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D611E0" w:rsidRPr="004441F9" w:rsidRDefault="00186944" w:rsidP="00186944">
            <w:pPr>
              <w:spacing w:after="0"/>
              <w:jc w:val="left"/>
              <w:rPr>
                <w:rFonts w:cs="Arial"/>
                <w:color w:val="000000"/>
                <w:sz w:val="20"/>
                <w:szCs w:val="20"/>
              </w:rPr>
            </w:pPr>
            <w:r>
              <w:rPr>
                <w:rFonts w:cs="Arial"/>
                <w:color w:val="000000"/>
                <w:sz w:val="20"/>
                <w:szCs w:val="20"/>
              </w:rPr>
              <w:t>Pubblicizzazione della Guida correttamente effettuata attraverso conferenza stampa e diffusione sul sito web</w:t>
            </w:r>
          </w:p>
        </w:tc>
      </w:tr>
      <w:tr w:rsidR="00D611E0" w:rsidRPr="00C86E80" w:rsidTr="00B168EB">
        <w:trPr>
          <w:trHeight w:val="1134"/>
          <w:jc w:val="center"/>
        </w:trPr>
        <w:tc>
          <w:tcPr>
            <w:tcW w:w="1111" w:type="pct"/>
            <w:shd w:val="clear" w:color="auto" w:fill="auto"/>
            <w:vAlign w:val="center"/>
          </w:tcPr>
          <w:p w:rsidR="00D611E0" w:rsidRDefault="00D611E0" w:rsidP="00B168EB">
            <w:pPr>
              <w:pStyle w:val="Default"/>
              <w:keepNext/>
              <w:jc w:val="center"/>
              <w:rPr>
                <w:rFonts w:asciiTheme="minorHAnsi" w:hAnsiTheme="minorHAnsi" w:cstheme="minorHAnsi"/>
                <w:sz w:val="20"/>
                <w:szCs w:val="20"/>
              </w:rPr>
            </w:pPr>
            <w:r>
              <w:rPr>
                <w:rFonts w:asciiTheme="minorHAnsi" w:hAnsiTheme="minorHAnsi" w:cstheme="minorHAnsi"/>
                <w:sz w:val="20"/>
                <w:szCs w:val="20"/>
              </w:rPr>
              <w:t>Ordine degli Avvocati</w:t>
            </w:r>
          </w:p>
        </w:tc>
        <w:tc>
          <w:tcPr>
            <w:tcW w:w="1389" w:type="pct"/>
            <w:vAlign w:val="center"/>
          </w:tcPr>
          <w:p w:rsidR="00D611E0" w:rsidRPr="00C134E3" w:rsidRDefault="00D611E0" w:rsidP="00B168EB">
            <w:pPr>
              <w:keepNext/>
              <w:spacing w:after="0" w:line="240" w:lineRule="auto"/>
              <w:jc w:val="left"/>
              <w:rPr>
                <w:sz w:val="20"/>
                <w:szCs w:val="20"/>
              </w:rPr>
            </w:pPr>
            <w:r>
              <w:rPr>
                <w:sz w:val="20"/>
                <w:szCs w:val="20"/>
              </w:rPr>
              <w:t>C</w:t>
            </w:r>
            <w:r w:rsidRPr="00C134E3">
              <w:rPr>
                <w:sz w:val="20"/>
                <w:szCs w:val="20"/>
              </w:rPr>
              <w:t>omunicazione</w:t>
            </w:r>
            <w:r>
              <w:rPr>
                <w:sz w:val="20"/>
                <w:szCs w:val="20"/>
              </w:rPr>
              <w:t xml:space="preserve"> della tabella delle spese e dei compensi professionali utilizzata dal Giudice di Pace nell’ambito dei procedimenti per ingiunzione</w:t>
            </w:r>
          </w:p>
        </w:tc>
        <w:tc>
          <w:tcPr>
            <w:tcW w:w="1111" w:type="pct"/>
            <w:vAlign w:val="center"/>
          </w:tcPr>
          <w:p w:rsidR="00D611E0" w:rsidRDefault="00936F08" w:rsidP="00B168EB">
            <w:pPr>
              <w:spacing w:after="0" w:line="240" w:lineRule="auto"/>
              <w:jc w:val="center"/>
              <w:rPr>
                <w:rFonts w:cs="Arial"/>
                <w:noProof/>
                <w:color w:val="000000"/>
                <w:sz w:val="18"/>
                <w:szCs w:val="18"/>
              </w:rPr>
            </w:pPr>
            <w:r>
              <w:rPr>
                <w:rFonts w:cs="Arial"/>
                <w:noProof/>
                <w:color w:val="000000"/>
                <w:sz w:val="18"/>
                <w:szCs w:val="18"/>
              </w:rPr>
              <w:drawing>
                <wp:inline distT="0" distB="0" distL="0" distR="0" wp14:anchorId="6CA687E8" wp14:editId="4BB8CB36">
                  <wp:extent cx="1905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D611E0" w:rsidRPr="004441F9" w:rsidRDefault="00186944" w:rsidP="00936F08">
            <w:pPr>
              <w:spacing w:after="0"/>
              <w:jc w:val="left"/>
              <w:rPr>
                <w:rFonts w:cs="Arial"/>
                <w:color w:val="000000"/>
                <w:sz w:val="20"/>
                <w:szCs w:val="20"/>
              </w:rPr>
            </w:pPr>
            <w:r>
              <w:rPr>
                <w:rFonts w:cs="Arial"/>
                <w:color w:val="000000"/>
                <w:sz w:val="20"/>
                <w:szCs w:val="20"/>
              </w:rPr>
              <w:t xml:space="preserve">La tabella </w:t>
            </w:r>
            <w:r w:rsidR="00936F08">
              <w:rPr>
                <w:rFonts w:cs="Arial"/>
                <w:color w:val="000000"/>
                <w:sz w:val="20"/>
                <w:szCs w:val="20"/>
              </w:rPr>
              <w:t xml:space="preserve">è stata pubblicata e risulta </w:t>
            </w:r>
            <w:r>
              <w:rPr>
                <w:rFonts w:cs="Arial"/>
                <w:color w:val="000000"/>
                <w:sz w:val="20"/>
                <w:szCs w:val="20"/>
              </w:rPr>
              <w:t>disponibile sul sito web dell’Ufficio</w:t>
            </w:r>
          </w:p>
        </w:tc>
      </w:tr>
      <w:tr w:rsidR="00D611E0" w:rsidRPr="00C86E80" w:rsidTr="00B168EB">
        <w:trPr>
          <w:trHeight w:val="1134"/>
          <w:jc w:val="center"/>
        </w:trPr>
        <w:tc>
          <w:tcPr>
            <w:tcW w:w="1111" w:type="pct"/>
            <w:shd w:val="clear" w:color="auto" w:fill="auto"/>
            <w:vAlign w:val="center"/>
          </w:tcPr>
          <w:p w:rsidR="00D611E0" w:rsidRDefault="00D611E0" w:rsidP="00B168EB">
            <w:pPr>
              <w:pStyle w:val="Default"/>
              <w:keepNext/>
              <w:jc w:val="center"/>
              <w:rPr>
                <w:rFonts w:asciiTheme="minorHAnsi" w:hAnsiTheme="minorHAnsi" w:cstheme="minorHAnsi"/>
                <w:sz w:val="20"/>
                <w:szCs w:val="20"/>
              </w:rPr>
            </w:pPr>
            <w:r>
              <w:rPr>
                <w:rFonts w:asciiTheme="minorHAnsi" w:hAnsiTheme="minorHAnsi" w:cstheme="minorHAnsi"/>
                <w:sz w:val="20"/>
                <w:szCs w:val="20"/>
              </w:rPr>
              <w:t>Cittadini</w:t>
            </w:r>
          </w:p>
          <w:p w:rsidR="00D611E0" w:rsidRPr="00C122C7" w:rsidRDefault="00D611E0" w:rsidP="00B168EB">
            <w:pPr>
              <w:pStyle w:val="Default"/>
              <w:keepNext/>
              <w:jc w:val="center"/>
              <w:rPr>
                <w:rFonts w:asciiTheme="minorHAnsi" w:hAnsiTheme="minorHAnsi" w:cstheme="minorHAnsi"/>
                <w:sz w:val="20"/>
                <w:szCs w:val="20"/>
              </w:rPr>
            </w:pPr>
            <w:r>
              <w:rPr>
                <w:rFonts w:asciiTheme="minorHAnsi" w:hAnsiTheme="minorHAnsi" w:cstheme="minorHAnsi"/>
                <w:sz w:val="20"/>
                <w:szCs w:val="20"/>
              </w:rPr>
              <w:t>Ordine degli Avvocati</w:t>
            </w:r>
          </w:p>
        </w:tc>
        <w:tc>
          <w:tcPr>
            <w:tcW w:w="1389" w:type="pct"/>
            <w:vAlign w:val="center"/>
          </w:tcPr>
          <w:p w:rsidR="00D611E0" w:rsidRDefault="00D611E0" w:rsidP="00B168EB">
            <w:pPr>
              <w:keepNext/>
              <w:spacing w:after="0" w:line="240" w:lineRule="auto"/>
              <w:jc w:val="left"/>
              <w:rPr>
                <w:rFonts w:asciiTheme="minorHAnsi" w:hAnsiTheme="minorHAnsi" w:cstheme="minorHAnsi"/>
                <w:color w:val="000000"/>
                <w:sz w:val="20"/>
                <w:szCs w:val="20"/>
              </w:rPr>
            </w:pPr>
            <w:r w:rsidRPr="00C134E3">
              <w:rPr>
                <w:sz w:val="20"/>
                <w:szCs w:val="20"/>
              </w:rPr>
              <w:t xml:space="preserve">Promozione e comunicazione </w:t>
            </w:r>
            <w:r>
              <w:rPr>
                <w:sz w:val="20"/>
                <w:szCs w:val="20"/>
              </w:rPr>
              <w:t xml:space="preserve">della </w:t>
            </w:r>
            <w:r>
              <w:rPr>
                <w:rFonts w:asciiTheme="minorHAnsi" w:hAnsiTheme="minorHAnsi" w:cstheme="minorHAnsi"/>
                <w:color w:val="000000"/>
                <w:sz w:val="20"/>
                <w:szCs w:val="20"/>
              </w:rPr>
              <w:t>nuova modulistica elaborata dall’Ufficio</w:t>
            </w:r>
          </w:p>
        </w:tc>
        <w:tc>
          <w:tcPr>
            <w:tcW w:w="1111" w:type="pct"/>
            <w:vAlign w:val="center"/>
          </w:tcPr>
          <w:p w:rsidR="00D611E0" w:rsidRDefault="00D611E0" w:rsidP="00B168EB">
            <w:pPr>
              <w:spacing w:after="0" w:line="240" w:lineRule="auto"/>
              <w:jc w:val="center"/>
              <w:rPr>
                <w:rFonts w:cs="Arial"/>
                <w:noProof/>
                <w:color w:val="000000"/>
                <w:sz w:val="18"/>
                <w:szCs w:val="18"/>
              </w:rPr>
            </w:pPr>
            <w:r>
              <w:rPr>
                <w:rFonts w:cs="Arial"/>
                <w:noProof/>
                <w:color w:val="000000"/>
                <w:sz w:val="18"/>
                <w:szCs w:val="18"/>
              </w:rPr>
              <w:drawing>
                <wp:inline distT="0" distB="0" distL="0" distR="0" wp14:anchorId="7BB87E69" wp14:editId="6FD6820B">
                  <wp:extent cx="190500" cy="495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p>
        </w:tc>
        <w:tc>
          <w:tcPr>
            <w:tcW w:w="1389" w:type="pct"/>
            <w:vAlign w:val="center"/>
          </w:tcPr>
          <w:p w:rsidR="00D611E0" w:rsidRPr="004441F9" w:rsidRDefault="00186944" w:rsidP="00186944">
            <w:pPr>
              <w:spacing w:after="0"/>
              <w:jc w:val="left"/>
              <w:rPr>
                <w:rFonts w:cs="Arial"/>
                <w:color w:val="000000"/>
                <w:sz w:val="20"/>
                <w:szCs w:val="20"/>
              </w:rPr>
            </w:pPr>
            <w:r>
              <w:rPr>
                <w:rFonts w:cs="Arial"/>
                <w:color w:val="000000"/>
                <w:sz w:val="20"/>
                <w:szCs w:val="20"/>
              </w:rPr>
              <w:t>Pubblicizzazione della modulistica correttamente effettuata attraverso conferenza stampa e diffusione sul sito web</w:t>
            </w:r>
          </w:p>
        </w:tc>
      </w:tr>
    </w:tbl>
    <w:p w:rsidR="00186944" w:rsidRDefault="00186944" w:rsidP="00204B74">
      <w:pPr>
        <w:rPr>
          <w:rFonts w:eastAsia="Calibri"/>
          <w:b/>
          <w:color w:val="00B050"/>
          <w:u w:val="single"/>
        </w:rPr>
      </w:pPr>
    </w:p>
    <w:p w:rsidR="00E30F34" w:rsidRPr="00B168EB" w:rsidRDefault="00E30F34" w:rsidP="00B168EB">
      <w:pPr>
        <w:spacing w:after="0" w:line="240" w:lineRule="auto"/>
        <w:jc w:val="left"/>
        <w:rPr>
          <w:rFonts w:eastAsia="Calibri"/>
          <w:b/>
          <w:color w:val="00B050"/>
          <w:u w:val="single"/>
        </w:rPr>
      </w:pPr>
    </w:p>
    <w:p w:rsidR="00AC2D5E" w:rsidRDefault="00AC2D5E">
      <w:pPr>
        <w:spacing w:after="0" w:line="240" w:lineRule="auto"/>
        <w:jc w:val="left"/>
      </w:pPr>
      <w:r>
        <w:br w:type="page"/>
      </w:r>
    </w:p>
    <w:p w:rsidR="00903D9E" w:rsidRPr="00485DA8" w:rsidRDefault="00903D9E" w:rsidP="004C1469">
      <w:pPr>
        <w:pStyle w:val="Heading1"/>
        <w:numPr>
          <w:ilvl w:val="0"/>
          <w:numId w:val="1"/>
        </w:numPr>
        <w:ind w:left="426" w:hanging="426"/>
      </w:pPr>
      <w:bookmarkStart w:id="31" w:name="_Toc367713342"/>
      <w:r>
        <w:lastRenderedPageBreak/>
        <w:t>ALLEGATI</w:t>
      </w:r>
      <w:bookmarkEnd w:id="31"/>
    </w:p>
    <w:p w:rsidR="00903D9E" w:rsidRDefault="00903D9E" w:rsidP="004C1469">
      <w:pPr>
        <w:pStyle w:val="Heading2"/>
        <w:numPr>
          <w:ilvl w:val="1"/>
          <w:numId w:val="1"/>
        </w:numPr>
        <w:spacing w:after="240"/>
        <w:ind w:left="567" w:hanging="567"/>
      </w:pPr>
      <w:bookmarkStart w:id="32" w:name="_Toc367713343"/>
      <w:r>
        <w:t>Comuni del circondario</w:t>
      </w:r>
      <w:bookmarkEnd w:id="32"/>
    </w:p>
    <w:tbl>
      <w:tblPr>
        <w:tblW w:w="9806"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0"/>
        <w:gridCol w:w="4676"/>
      </w:tblGrid>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Albettone</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Longare</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Altavilla</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Montecchio Precalcino</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Arcugnano</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Montegalda</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Barbarano</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Montegaldella</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Bolzano Vicentino</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Monteviale</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Brendola</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Monticello Conte Otto</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Bressanvido</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Mossano</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Caldogno</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Nanto</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Camisano Vicentino</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Quinto</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Castagneto</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Vicentino</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Costabissara</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Sandrigo</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Creazzo</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Sovizzo</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Dueville</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Torri di Quartesolo</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Gambugliano</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Vicenza</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Grisignano di Zocco</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Villana</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Grumolo delle Abradesse</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Zovencedo</w:t>
            </w:r>
          </w:p>
        </w:tc>
      </w:tr>
      <w:tr w:rsidR="004A54F1" w:rsidRPr="007F49F6" w:rsidTr="00E74622">
        <w:trPr>
          <w:trHeight w:hRule="exact" w:val="454"/>
        </w:trPr>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Cs w:val="24"/>
              </w:rPr>
            </w:pPr>
            <w:r w:rsidRPr="004A54F1">
              <w:rPr>
                <w:rFonts w:asciiTheme="minorHAnsi" w:hAnsiTheme="minorHAnsi" w:cstheme="minorHAnsi"/>
                <w:color w:val="000000"/>
                <w:szCs w:val="24"/>
              </w:rPr>
              <w:t>Isola Vicentina</w:t>
            </w:r>
          </w:p>
        </w:tc>
        <w:tc>
          <w:tcPr>
            <w:tcW w:w="0" w:type="auto"/>
            <w:shd w:val="clear" w:color="auto" w:fill="auto"/>
            <w:noWrap/>
            <w:vAlign w:val="center"/>
            <w:hideMark/>
          </w:tcPr>
          <w:p w:rsidR="004A54F1" w:rsidRPr="004A54F1" w:rsidRDefault="004A54F1" w:rsidP="00F25107">
            <w:pPr>
              <w:spacing w:after="0"/>
              <w:jc w:val="center"/>
              <w:rPr>
                <w:rFonts w:asciiTheme="minorHAnsi" w:hAnsiTheme="minorHAnsi" w:cstheme="minorHAnsi"/>
                <w:color w:val="000000"/>
                <w:sz w:val="20"/>
              </w:rPr>
            </w:pPr>
          </w:p>
        </w:tc>
      </w:tr>
    </w:tbl>
    <w:p w:rsidR="00903D9E" w:rsidRDefault="00903D9E" w:rsidP="00F25107">
      <w:pPr>
        <w:spacing w:after="0"/>
      </w:pPr>
    </w:p>
    <w:p w:rsidR="003464D8" w:rsidRDefault="003464D8">
      <w:pPr>
        <w:spacing w:after="0" w:line="240" w:lineRule="auto"/>
        <w:jc w:val="left"/>
      </w:pPr>
      <w:r>
        <w:br w:type="page"/>
      </w:r>
    </w:p>
    <w:p w:rsidR="0055665D" w:rsidRDefault="004A54F1" w:rsidP="00186944">
      <w:pPr>
        <w:pStyle w:val="Heading2"/>
        <w:numPr>
          <w:ilvl w:val="1"/>
          <w:numId w:val="1"/>
        </w:numPr>
        <w:ind w:left="567" w:hanging="567"/>
      </w:pPr>
      <w:bookmarkStart w:id="33" w:name="_Toc367713344"/>
      <w:r>
        <w:lastRenderedPageBreak/>
        <w:t>Circondario del Giudice di Pace di Vicenza</w:t>
      </w:r>
      <w:bookmarkEnd w:id="33"/>
    </w:p>
    <w:p w:rsidR="003464D8" w:rsidRDefault="00186944" w:rsidP="003464D8">
      <w:bookmarkStart w:id="34" w:name="_Toc362945365"/>
      <w:bookmarkStart w:id="35" w:name="_Toc362946413"/>
      <w:bookmarkStart w:id="36" w:name="_Toc362946816"/>
      <w:r w:rsidRPr="00F25107">
        <w:rPr>
          <w:noProof/>
        </w:rPr>
        <w:drawing>
          <wp:anchor distT="0" distB="0" distL="114300" distR="114300" simplePos="0" relativeHeight="251666944" behindDoc="0" locked="0" layoutInCell="1" allowOverlap="1" wp14:anchorId="39752DD7" wp14:editId="5F6C5B6F">
            <wp:simplePos x="0" y="0"/>
            <wp:positionH relativeFrom="margin">
              <wp:posOffset>316230</wp:posOffset>
            </wp:positionH>
            <wp:positionV relativeFrom="paragraph">
              <wp:posOffset>221615</wp:posOffset>
            </wp:positionV>
            <wp:extent cx="5011420" cy="5312410"/>
            <wp:effectExtent l="0" t="0" r="0" b="2540"/>
            <wp:wrapNone/>
            <wp:docPr id="21" name="Picture 1" descr="C:\Documents and Settings\andrea.chiavetta\Desktop\GP Vicenza\Dati\GdP_CAVenezia20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drea.chiavetta\Desktop\GP Vicenza\Dati\GdP_CAVenezia2011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1420" cy="5312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34"/>
      <w:bookmarkEnd w:id="35"/>
      <w:bookmarkEnd w:id="36"/>
    </w:p>
    <w:p w:rsidR="003464D8" w:rsidRDefault="003464D8" w:rsidP="003464D8"/>
    <w:p w:rsidR="003464D8" w:rsidRDefault="003464D8" w:rsidP="003464D8"/>
    <w:p w:rsidR="003464D8" w:rsidRDefault="003464D8" w:rsidP="003464D8"/>
    <w:p w:rsidR="003464D8" w:rsidRDefault="003464D8" w:rsidP="003464D8"/>
    <w:p w:rsidR="003464D8" w:rsidRDefault="003464D8" w:rsidP="003464D8"/>
    <w:p w:rsidR="003464D8" w:rsidRDefault="003464D8" w:rsidP="003464D8"/>
    <w:p w:rsidR="003464D8" w:rsidRDefault="003464D8" w:rsidP="003464D8"/>
    <w:p w:rsidR="003464D8" w:rsidRDefault="003464D8" w:rsidP="003464D8"/>
    <w:p w:rsidR="003464D8" w:rsidRDefault="003464D8" w:rsidP="003464D8"/>
    <w:p w:rsidR="003464D8" w:rsidRDefault="003464D8" w:rsidP="003464D8"/>
    <w:p w:rsidR="003464D8" w:rsidRDefault="003464D8" w:rsidP="003464D8"/>
    <w:p w:rsidR="003464D8" w:rsidRDefault="003464D8" w:rsidP="003464D8"/>
    <w:p w:rsidR="003464D8" w:rsidRDefault="003464D8" w:rsidP="003464D8"/>
    <w:p w:rsidR="00CF1377" w:rsidRDefault="00CF1377" w:rsidP="003464D8"/>
    <w:p w:rsidR="00CF1377" w:rsidRDefault="00CF1377" w:rsidP="003464D8"/>
    <w:p w:rsidR="00C34E63" w:rsidRPr="003464D8" w:rsidRDefault="00C34E63" w:rsidP="003464D8"/>
    <w:p w:rsidR="00903D9E" w:rsidRPr="00903D9E" w:rsidRDefault="00903D9E" w:rsidP="004C1469">
      <w:pPr>
        <w:pStyle w:val="Heading2"/>
        <w:numPr>
          <w:ilvl w:val="1"/>
          <w:numId w:val="1"/>
        </w:numPr>
        <w:spacing w:after="240"/>
        <w:ind w:left="567" w:hanging="567"/>
      </w:pPr>
      <w:bookmarkStart w:id="37" w:name="_Toc367713345"/>
      <w:r>
        <w:t>Fonti dei dati</w:t>
      </w:r>
      <w:bookmarkEnd w:id="37"/>
    </w:p>
    <w:p w:rsidR="00204B74" w:rsidRPr="00204B74" w:rsidRDefault="00204B74" w:rsidP="004C1469">
      <w:pPr>
        <w:pStyle w:val="ListParagraph"/>
        <w:numPr>
          <w:ilvl w:val="0"/>
          <w:numId w:val="3"/>
        </w:numPr>
        <w:overflowPunct w:val="0"/>
        <w:autoSpaceDE w:val="0"/>
        <w:autoSpaceDN w:val="0"/>
        <w:adjustRightInd w:val="0"/>
        <w:spacing w:after="120"/>
        <w:textAlignment w:val="baseline"/>
        <w:rPr>
          <w:rFonts w:asciiTheme="minorHAnsi" w:hAnsiTheme="minorHAnsi" w:cstheme="minorHAnsi"/>
          <w:szCs w:val="24"/>
        </w:rPr>
      </w:pPr>
      <w:bookmarkStart w:id="38" w:name="_Toc338748707"/>
      <w:r w:rsidRPr="00204B74">
        <w:rPr>
          <w:rFonts w:asciiTheme="minorHAnsi" w:hAnsiTheme="minorHAnsi" w:cstheme="minorHAnsi"/>
          <w:szCs w:val="24"/>
        </w:rPr>
        <w:t>Ministero della Giustizia – Direzione Generale di Statistica</w:t>
      </w:r>
    </w:p>
    <w:p w:rsidR="00204B74" w:rsidRPr="00204B74" w:rsidRDefault="00204B74" w:rsidP="004C1469">
      <w:pPr>
        <w:pStyle w:val="ListParagraph"/>
        <w:numPr>
          <w:ilvl w:val="0"/>
          <w:numId w:val="3"/>
        </w:numPr>
        <w:overflowPunct w:val="0"/>
        <w:autoSpaceDE w:val="0"/>
        <w:autoSpaceDN w:val="0"/>
        <w:adjustRightInd w:val="0"/>
        <w:spacing w:after="120"/>
        <w:textAlignment w:val="baseline"/>
        <w:rPr>
          <w:rFonts w:asciiTheme="minorHAnsi" w:hAnsiTheme="minorHAnsi" w:cstheme="minorHAnsi"/>
          <w:szCs w:val="24"/>
        </w:rPr>
      </w:pPr>
      <w:r>
        <w:rPr>
          <w:rFonts w:asciiTheme="minorHAnsi" w:hAnsiTheme="minorHAnsi" w:cstheme="minorHAnsi"/>
          <w:szCs w:val="24"/>
        </w:rPr>
        <w:t>C</w:t>
      </w:r>
      <w:r w:rsidRPr="00204B74">
        <w:rPr>
          <w:rFonts w:asciiTheme="minorHAnsi" w:hAnsiTheme="minorHAnsi" w:cstheme="minorHAnsi"/>
          <w:szCs w:val="24"/>
        </w:rPr>
        <w:t>onsiglio Superiore della Magistratura, statistiche sul sito internet istituzionale: www.csm.it</w:t>
      </w:r>
    </w:p>
    <w:p w:rsidR="00204B74" w:rsidRPr="00204B74" w:rsidRDefault="00204B74" w:rsidP="004C1469">
      <w:pPr>
        <w:pStyle w:val="ListParagraph"/>
        <w:numPr>
          <w:ilvl w:val="0"/>
          <w:numId w:val="3"/>
        </w:numPr>
        <w:overflowPunct w:val="0"/>
        <w:autoSpaceDE w:val="0"/>
        <w:autoSpaceDN w:val="0"/>
        <w:adjustRightInd w:val="0"/>
        <w:spacing w:after="120"/>
        <w:textAlignment w:val="baseline"/>
        <w:rPr>
          <w:rFonts w:asciiTheme="minorHAnsi" w:hAnsiTheme="minorHAnsi" w:cstheme="minorHAnsi"/>
          <w:szCs w:val="24"/>
        </w:rPr>
      </w:pPr>
      <w:r w:rsidRPr="00204B74">
        <w:rPr>
          <w:rFonts w:asciiTheme="minorHAnsi" w:hAnsiTheme="minorHAnsi" w:cstheme="minorHAnsi"/>
          <w:szCs w:val="24"/>
        </w:rPr>
        <w:t>Ministero della Giustizia, sito internet istituzionale: www.giustizia.it</w:t>
      </w:r>
    </w:p>
    <w:p w:rsidR="00204B74" w:rsidRPr="00204B74" w:rsidRDefault="00204B74" w:rsidP="004C1469">
      <w:pPr>
        <w:pStyle w:val="ListParagraph"/>
        <w:numPr>
          <w:ilvl w:val="0"/>
          <w:numId w:val="3"/>
        </w:numPr>
        <w:overflowPunct w:val="0"/>
        <w:autoSpaceDE w:val="0"/>
        <w:autoSpaceDN w:val="0"/>
        <w:adjustRightInd w:val="0"/>
        <w:spacing w:after="120"/>
        <w:textAlignment w:val="baseline"/>
        <w:rPr>
          <w:rFonts w:asciiTheme="minorHAnsi" w:hAnsiTheme="minorHAnsi" w:cstheme="minorHAnsi"/>
          <w:szCs w:val="24"/>
        </w:rPr>
      </w:pPr>
      <w:r w:rsidRPr="00204B74">
        <w:rPr>
          <w:rFonts w:asciiTheme="minorHAnsi" w:hAnsiTheme="minorHAnsi" w:cstheme="minorHAnsi"/>
          <w:szCs w:val="24"/>
        </w:rPr>
        <w:t>ISTAT, Sistema Informativo Territoriale sulla Giustizia, http://giustiziaincifre.istat.it</w:t>
      </w:r>
    </w:p>
    <w:p w:rsidR="00903D9E" w:rsidRPr="00C34E63" w:rsidRDefault="00204B74" w:rsidP="00C34E63">
      <w:pPr>
        <w:pStyle w:val="ListParagraph"/>
        <w:numPr>
          <w:ilvl w:val="0"/>
          <w:numId w:val="3"/>
        </w:numPr>
        <w:overflowPunct w:val="0"/>
        <w:autoSpaceDE w:val="0"/>
        <w:autoSpaceDN w:val="0"/>
        <w:adjustRightInd w:val="0"/>
        <w:spacing w:after="120"/>
        <w:textAlignment w:val="baseline"/>
        <w:rPr>
          <w:rFonts w:asciiTheme="minorHAnsi" w:hAnsiTheme="minorHAnsi" w:cstheme="minorHAnsi"/>
          <w:szCs w:val="24"/>
        </w:rPr>
      </w:pPr>
      <w:r w:rsidRPr="00204B74">
        <w:rPr>
          <w:rFonts w:asciiTheme="minorHAnsi" w:hAnsiTheme="minorHAnsi" w:cstheme="minorHAnsi"/>
          <w:szCs w:val="24"/>
        </w:rPr>
        <w:t>ISTAT, Statistiche demografiche, http://demoistat.it</w:t>
      </w:r>
      <w:bookmarkEnd w:id="38"/>
    </w:p>
    <w:sectPr w:rsidR="00903D9E" w:rsidRPr="00C34E63" w:rsidSect="00ED2B88">
      <w:headerReference w:type="default" r:id="rId28"/>
      <w:footerReference w:type="default" r:id="rId29"/>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B29" w:rsidRDefault="00C84B29" w:rsidP="00195919">
      <w:pPr>
        <w:spacing w:after="0" w:line="240" w:lineRule="auto"/>
      </w:pPr>
      <w:r>
        <w:separator/>
      </w:r>
    </w:p>
  </w:endnote>
  <w:endnote w:type="continuationSeparator" w:id="0">
    <w:p w:rsidR="00C84B29" w:rsidRDefault="00C84B29" w:rsidP="00195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8EB" w:rsidRDefault="00B168EB">
    <w:pPr>
      <w:pStyle w:val="Footer"/>
      <w:jc w:val="right"/>
    </w:pPr>
    <w:r>
      <w:fldChar w:fldCharType="begin"/>
    </w:r>
    <w:r>
      <w:instrText xml:space="preserve"> PAGE   \* MERGEFORMAT </w:instrText>
    </w:r>
    <w:r>
      <w:fldChar w:fldCharType="separate"/>
    </w:r>
    <w:r w:rsidR="00936F08">
      <w:rPr>
        <w:noProof/>
      </w:rPr>
      <w:t>1</w:t>
    </w:r>
    <w:r>
      <w:rPr>
        <w:noProof/>
      </w:rPr>
      <w:fldChar w:fldCharType="end"/>
    </w:r>
  </w:p>
  <w:p w:rsidR="00B168EB" w:rsidRDefault="00B168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B29" w:rsidRDefault="00C84B29" w:rsidP="00195919">
      <w:pPr>
        <w:spacing w:after="0" w:line="240" w:lineRule="auto"/>
      </w:pPr>
      <w:r>
        <w:separator/>
      </w:r>
    </w:p>
  </w:footnote>
  <w:footnote w:type="continuationSeparator" w:id="0">
    <w:p w:rsidR="00C84B29" w:rsidRDefault="00C84B29" w:rsidP="00195919">
      <w:pPr>
        <w:spacing w:after="0" w:line="240" w:lineRule="auto"/>
      </w:pPr>
      <w:r>
        <w:continuationSeparator/>
      </w:r>
    </w:p>
  </w:footnote>
  <w:footnote w:id="1">
    <w:p w:rsidR="00B168EB" w:rsidRDefault="00B168EB">
      <w:pPr>
        <w:pStyle w:val="FootnoteText"/>
      </w:pPr>
      <w:r>
        <w:rPr>
          <w:rStyle w:val="FootnoteReference"/>
        </w:rPr>
        <w:footnoteRef/>
      </w:r>
      <w:r>
        <w:t xml:space="preserve"> Si ricorda che secondo la Legge 148/11</w:t>
      </w:r>
      <w:r w:rsidRPr="00E26B90">
        <w:rPr>
          <w:rFonts w:cs="Calibri"/>
          <w:szCs w:val="24"/>
        </w:rPr>
        <w:t xml:space="preserve">, è previsto l’accorpamento al Giudice di Pace di Vicenza di tutti i Giudici di Pace del distretto. </w:t>
      </w:r>
      <w:r>
        <w:t xml:space="preserve"> </w:t>
      </w:r>
    </w:p>
  </w:footnote>
  <w:footnote w:id="2">
    <w:p w:rsidR="00B168EB" w:rsidRDefault="00B168EB" w:rsidP="00204B74">
      <w:pPr>
        <w:pStyle w:val="FootnoteText"/>
        <w:spacing w:before="0" w:after="0" w:line="200" w:lineRule="atLeast"/>
        <w:ind w:left="0" w:firstLine="0"/>
        <w:rPr>
          <w:sz w:val="18"/>
          <w:szCs w:val="18"/>
        </w:rPr>
      </w:pPr>
      <w:r>
        <w:rPr>
          <w:rStyle w:val="FootnoteReference"/>
          <w:sz w:val="18"/>
          <w:szCs w:val="18"/>
          <w:vertAlign w:val="superscript"/>
        </w:rPr>
        <w:footnoteRef/>
      </w:r>
      <w:r>
        <w:rPr>
          <w:sz w:val="18"/>
          <w:szCs w:val="18"/>
          <w:lang w:eastAsia="it-IT"/>
        </w:rPr>
        <w:t xml:space="preserve"> Corte d’Appello, Procura Generale della Repubblica, Tribunale dei Minorenni, Tribunale di Sorveglianza, Procura della Repubblica presso il Tribunale, altri Giudici di pace, ecc.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0A0" w:firstRow="1" w:lastRow="0" w:firstColumn="1" w:lastColumn="0" w:noHBand="0" w:noVBand="0"/>
    </w:tblPr>
    <w:tblGrid>
      <w:gridCol w:w="2960"/>
      <w:gridCol w:w="6908"/>
    </w:tblGrid>
    <w:tr w:rsidR="00B168EB" w:rsidRPr="00B06EB4" w:rsidTr="00ED2B88">
      <w:tc>
        <w:tcPr>
          <w:tcW w:w="1500" w:type="pct"/>
          <w:tcBorders>
            <w:bottom w:val="single" w:sz="4" w:space="0" w:color="943634"/>
          </w:tcBorders>
          <w:shd w:val="clear" w:color="auto" w:fill="00B050"/>
          <w:vAlign w:val="bottom"/>
        </w:tcPr>
        <w:p w:rsidR="00B168EB" w:rsidRDefault="00B168EB" w:rsidP="00ED2B88">
          <w:pPr>
            <w:pStyle w:val="Header"/>
            <w:jc w:val="right"/>
            <w:rPr>
              <w:color w:val="FFFFFF"/>
            </w:rPr>
          </w:pPr>
        </w:p>
      </w:tc>
      <w:tc>
        <w:tcPr>
          <w:tcW w:w="4000" w:type="pct"/>
          <w:tcBorders>
            <w:bottom w:val="single" w:sz="4" w:space="0" w:color="auto"/>
          </w:tcBorders>
          <w:vAlign w:val="bottom"/>
        </w:tcPr>
        <w:p w:rsidR="00B168EB" w:rsidRDefault="00B168EB" w:rsidP="00640159">
          <w:pPr>
            <w:pStyle w:val="Header"/>
            <w:rPr>
              <w:bCs/>
              <w:color w:val="76923C"/>
            </w:rPr>
          </w:pPr>
          <w:r>
            <w:rPr>
              <w:b/>
              <w:bCs/>
              <w:caps/>
            </w:rPr>
            <w:t>BRS CONSUNTIVO del giudice di pacE</w:t>
          </w:r>
          <w:r w:rsidRPr="00ED2B88">
            <w:rPr>
              <w:b/>
              <w:bCs/>
              <w:caps/>
            </w:rPr>
            <w:t xml:space="preserve"> di vicenza</w:t>
          </w:r>
        </w:p>
      </w:tc>
    </w:tr>
  </w:tbl>
  <w:p w:rsidR="00B168EB" w:rsidRDefault="00B16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RTF_Num 34"/>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00000008"/>
    <w:multiLevelType w:val="multilevel"/>
    <w:tmpl w:val="4802F61E"/>
    <w:name w:val="RTF_Num 13"/>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nsid w:val="0A050254"/>
    <w:multiLevelType w:val="multilevel"/>
    <w:tmpl w:val="0AA80FA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nsid w:val="119C4166"/>
    <w:multiLevelType w:val="hybridMultilevel"/>
    <w:tmpl w:val="3DD0BD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1A8017B"/>
    <w:multiLevelType w:val="hybridMultilevel"/>
    <w:tmpl w:val="F0404B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F94220F"/>
    <w:multiLevelType w:val="hybridMultilevel"/>
    <w:tmpl w:val="1E68E5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7F277B9"/>
    <w:multiLevelType w:val="hybridMultilevel"/>
    <w:tmpl w:val="941426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8056579"/>
    <w:multiLevelType w:val="hybridMultilevel"/>
    <w:tmpl w:val="40709B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99F59BD"/>
    <w:multiLevelType w:val="multilevel"/>
    <w:tmpl w:val="DDB03FD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nsid w:val="3AA0483E"/>
    <w:multiLevelType w:val="hybridMultilevel"/>
    <w:tmpl w:val="79786D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B433E48"/>
    <w:multiLevelType w:val="hybridMultilevel"/>
    <w:tmpl w:val="3C18F8CA"/>
    <w:lvl w:ilvl="0" w:tplc="B9986A02">
      <w:start w:val="1"/>
      <w:numFmt w:val="decimal"/>
      <w:lvlText w:val="2.%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E311EC1"/>
    <w:multiLevelType w:val="hybridMultilevel"/>
    <w:tmpl w:val="165668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95A3637"/>
    <w:multiLevelType w:val="hybridMultilevel"/>
    <w:tmpl w:val="49CEBB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A3236A3"/>
    <w:multiLevelType w:val="hybridMultilevel"/>
    <w:tmpl w:val="A35802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6002005E"/>
    <w:multiLevelType w:val="hybridMultilevel"/>
    <w:tmpl w:val="9D32F0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0A279A2"/>
    <w:multiLevelType w:val="hybridMultilevel"/>
    <w:tmpl w:val="84E004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4487860"/>
    <w:multiLevelType w:val="multilevel"/>
    <w:tmpl w:val="B05C56D8"/>
    <w:lvl w:ilvl="0">
      <w:start w:val="1"/>
      <w:numFmt w:val="decimal"/>
      <w:lvlText w:val="%1."/>
      <w:lvlJc w:val="left"/>
      <w:pPr>
        <w:ind w:left="720" w:hanging="360"/>
      </w:pPr>
      <w:rPr>
        <w:rFonts w:cs="Times New Roman" w:hint="default"/>
        <w:color w:val="00B050"/>
        <w:sz w:val="28"/>
        <w:szCs w:val="28"/>
      </w:rPr>
    </w:lvl>
    <w:lvl w:ilvl="1">
      <w:start w:val="1"/>
      <w:numFmt w:val="decimal"/>
      <w:isLgl/>
      <w:lvlText w:val="%1.%2."/>
      <w:lvlJc w:val="left"/>
      <w:pPr>
        <w:ind w:left="1080" w:hanging="720"/>
      </w:pPr>
      <w:rPr>
        <w:rFonts w:cs="Times New Roman" w:hint="default"/>
        <w:sz w:val="26"/>
        <w:szCs w:val="26"/>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6766042E"/>
    <w:multiLevelType w:val="hybridMultilevel"/>
    <w:tmpl w:val="84E004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1ED5AA1"/>
    <w:multiLevelType w:val="multilevel"/>
    <w:tmpl w:val="F79E21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
    <w:nsid w:val="73AC4FD1"/>
    <w:multiLevelType w:val="multilevel"/>
    <w:tmpl w:val="7D2E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71123E"/>
    <w:multiLevelType w:val="hybridMultilevel"/>
    <w:tmpl w:val="297AA8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AA25B06"/>
    <w:multiLevelType w:val="multilevel"/>
    <w:tmpl w:val="1090CD2A"/>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16"/>
  </w:num>
  <w:num w:numId="2">
    <w:abstractNumId w:val="0"/>
  </w:num>
  <w:num w:numId="3">
    <w:abstractNumId w:val="11"/>
  </w:num>
  <w:num w:numId="4">
    <w:abstractNumId w:val="6"/>
  </w:num>
  <w:num w:numId="5">
    <w:abstractNumId w:val="9"/>
  </w:num>
  <w:num w:numId="6">
    <w:abstractNumId w:val="14"/>
  </w:num>
  <w:num w:numId="7">
    <w:abstractNumId w:val="7"/>
  </w:num>
  <w:num w:numId="8">
    <w:abstractNumId w:val="17"/>
  </w:num>
  <w:num w:numId="9">
    <w:abstractNumId w:val="15"/>
  </w:num>
  <w:num w:numId="10">
    <w:abstractNumId w:val="20"/>
  </w:num>
  <w:num w:numId="11">
    <w:abstractNumId w:val="1"/>
  </w:num>
  <w:num w:numId="12">
    <w:abstractNumId w:val="2"/>
  </w:num>
  <w:num w:numId="13">
    <w:abstractNumId w:val="8"/>
  </w:num>
  <w:num w:numId="14">
    <w:abstractNumId w:val="13"/>
  </w:num>
  <w:num w:numId="15">
    <w:abstractNumId w:val="21"/>
  </w:num>
  <w:num w:numId="16">
    <w:abstractNumId w:val="18"/>
  </w:num>
  <w:num w:numId="17">
    <w:abstractNumId w:val="19"/>
  </w:num>
  <w:num w:numId="18">
    <w:abstractNumId w:val="4"/>
  </w:num>
  <w:num w:numId="19">
    <w:abstractNumId w:val="12"/>
  </w:num>
  <w:num w:numId="20">
    <w:abstractNumId w:val="10"/>
  </w:num>
  <w:num w:numId="21">
    <w:abstractNumId w:val="3"/>
  </w:num>
  <w:num w:numId="2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AF"/>
    <w:rsid w:val="000006A2"/>
    <w:rsid w:val="00001958"/>
    <w:rsid w:val="000069BE"/>
    <w:rsid w:val="00011450"/>
    <w:rsid w:val="000143B9"/>
    <w:rsid w:val="00021A6E"/>
    <w:rsid w:val="000267F2"/>
    <w:rsid w:val="00027DCA"/>
    <w:rsid w:val="00033C75"/>
    <w:rsid w:val="00042945"/>
    <w:rsid w:val="000536ED"/>
    <w:rsid w:val="000854C1"/>
    <w:rsid w:val="000A75B6"/>
    <w:rsid w:val="000A7713"/>
    <w:rsid w:val="000C0D77"/>
    <w:rsid w:val="000C343D"/>
    <w:rsid w:val="000C44F8"/>
    <w:rsid w:val="000C4C46"/>
    <w:rsid w:val="000D27C9"/>
    <w:rsid w:val="000D724B"/>
    <w:rsid w:val="0011478F"/>
    <w:rsid w:val="00127ECD"/>
    <w:rsid w:val="00130D1A"/>
    <w:rsid w:val="00141261"/>
    <w:rsid w:val="00154F6C"/>
    <w:rsid w:val="00164F86"/>
    <w:rsid w:val="00167FD7"/>
    <w:rsid w:val="00173767"/>
    <w:rsid w:val="00185602"/>
    <w:rsid w:val="001856E6"/>
    <w:rsid w:val="00185E93"/>
    <w:rsid w:val="00186944"/>
    <w:rsid w:val="00187611"/>
    <w:rsid w:val="00193F40"/>
    <w:rsid w:val="00195919"/>
    <w:rsid w:val="00197154"/>
    <w:rsid w:val="001A37FC"/>
    <w:rsid w:val="001A643B"/>
    <w:rsid w:val="001B1905"/>
    <w:rsid w:val="001B6577"/>
    <w:rsid w:val="001C66A0"/>
    <w:rsid w:val="001D4D36"/>
    <w:rsid w:val="001F6351"/>
    <w:rsid w:val="001F65B1"/>
    <w:rsid w:val="00204B74"/>
    <w:rsid w:val="002147AB"/>
    <w:rsid w:val="002159F2"/>
    <w:rsid w:val="00217D12"/>
    <w:rsid w:val="0023225C"/>
    <w:rsid w:val="0023437F"/>
    <w:rsid w:val="00247D4E"/>
    <w:rsid w:val="002500AA"/>
    <w:rsid w:val="002768B1"/>
    <w:rsid w:val="0029631A"/>
    <w:rsid w:val="002C17B6"/>
    <w:rsid w:val="002D1162"/>
    <w:rsid w:val="002D19A8"/>
    <w:rsid w:val="002E2ED9"/>
    <w:rsid w:val="00303583"/>
    <w:rsid w:val="00310A75"/>
    <w:rsid w:val="0031373B"/>
    <w:rsid w:val="00323D18"/>
    <w:rsid w:val="00327904"/>
    <w:rsid w:val="003306DC"/>
    <w:rsid w:val="003464D8"/>
    <w:rsid w:val="00384AED"/>
    <w:rsid w:val="00385ECE"/>
    <w:rsid w:val="00387FA5"/>
    <w:rsid w:val="00391FA1"/>
    <w:rsid w:val="00396CA2"/>
    <w:rsid w:val="003A03A0"/>
    <w:rsid w:val="003A1DF4"/>
    <w:rsid w:val="003A333A"/>
    <w:rsid w:val="003B4B0C"/>
    <w:rsid w:val="003C088C"/>
    <w:rsid w:val="003C3DDD"/>
    <w:rsid w:val="003D390A"/>
    <w:rsid w:val="003E1285"/>
    <w:rsid w:val="003E2641"/>
    <w:rsid w:val="003E5379"/>
    <w:rsid w:val="003E701C"/>
    <w:rsid w:val="0040254C"/>
    <w:rsid w:val="00421910"/>
    <w:rsid w:val="00441009"/>
    <w:rsid w:val="004441F9"/>
    <w:rsid w:val="004446C6"/>
    <w:rsid w:val="004640E1"/>
    <w:rsid w:val="00470C26"/>
    <w:rsid w:val="00477014"/>
    <w:rsid w:val="00481E1E"/>
    <w:rsid w:val="00485DA8"/>
    <w:rsid w:val="00496344"/>
    <w:rsid w:val="00497132"/>
    <w:rsid w:val="004A54F1"/>
    <w:rsid w:val="004B31A5"/>
    <w:rsid w:val="004C1469"/>
    <w:rsid w:val="004C549C"/>
    <w:rsid w:val="004D1890"/>
    <w:rsid w:val="004F5417"/>
    <w:rsid w:val="00501150"/>
    <w:rsid w:val="005071A3"/>
    <w:rsid w:val="005105B6"/>
    <w:rsid w:val="00510E50"/>
    <w:rsid w:val="005165C6"/>
    <w:rsid w:val="00522CEF"/>
    <w:rsid w:val="00525107"/>
    <w:rsid w:val="00525B36"/>
    <w:rsid w:val="005323AE"/>
    <w:rsid w:val="005367A8"/>
    <w:rsid w:val="005426A1"/>
    <w:rsid w:val="0055665D"/>
    <w:rsid w:val="005572E9"/>
    <w:rsid w:val="005821C7"/>
    <w:rsid w:val="00596CA4"/>
    <w:rsid w:val="005B0F3D"/>
    <w:rsid w:val="005B5774"/>
    <w:rsid w:val="005B5A0C"/>
    <w:rsid w:val="005C2B95"/>
    <w:rsid w:val="005D0163"/>
    <w:rsid w:val="005D16FC"/>
    <w:rsid w:val="005E0279"/>
    <w:rsid w:val="005E5C4C"/>
    <w:rsid w:val="006013F0"/>
    <w:rsid w:val="006048D0"/>
    <w:rsid w:val="00631481"/>
    <w:rsid w:val="00640159"/>
    <w:rsid w:val="0065281B"/>
    <w:rsid w:val="006A6BB8"/>
    <w:rsid w:val="006C6E12"/>
    <w:rsid w:val="006D64FC"/>
    <w:rsid w:val="006E4469"/>
    <w:rsid w:val="006E6742"/>
    <w:rsid w:val="006F18BD"/>
    <w:rsid w:val="006F29CF"/>
    <w:rsid w:val="00704338"/>
    <w:rsid w:val="00715DB0"/>
    <w:rsid w:val="00716786"/>
    <w:rsid w:val="00723DCD"/>
    <w:rsid w:val="00735862"/>
    <w:rsid w:val="00736173"/>
    <w:rsid w:val="00740565"/>
    <w:rsid w:val="00746498"/>
    <w:rsid w:val="0075495A"/>
    <w:rsid w:val="00785DC2"/>
    <w:rsid w:val="007917EC"/>
    <w:rsid w:val="007944AF"/>
    <w:rsid w:val="00795829"/>
    <w:rsid w:val="007B3B80"/>
    <w:rsid w:val="007C1E4D"/>
    <w:rsid w:val="007D2A73"/>
    <w:rsid w:val="007D3A0B"/>
    <w:rsid w:val="007E1B82"/>
    <w:rsid w:val="007E4C42"/>
    <w:rsid w:val="007F116C"/>
    <w:rsid w:val="00816C07"/>
    <w:rsid w:val="008212FB"/>
    <w:rsid w:val="00826048"/>
    <w:rsid w:val="008316B7"/>
    <w:rsid w:val="008360EC"/>
    <w:rsid w:val="00847905"/>
    <w:rsid w:val="0086362A"/>
    <w:rsid w:val="00871EF3"/>
    <w:rsid w:val="00872D01"/>
    <w:rsid w:val="008765E0"/>
    <w:rsid w:val="00876855"/>
    <w:rsid w:val="00876F65"/>
    <w:rsid w:val="00886147"/>
    <w:rsid w:val="00890E04"/>
    <w:rsid w:val="008A6512"/>
    <w:rsid w:val="008A6887"/>
    <w:rsid w:val="008B56C5"/>
    <w:rsid w:val="008C4807"/>
    <w:rsid w:val="008C5AC9"/>
    <w:rsid w:val="008D0A7F"/>
    <w:rsid w:val="008D2150"/>
    <w:rsid w:val="008D3824"/>
    <w:rsid w:val="008D5C9D"/>
    <w:rsid w:val="008F55A8"/>
    <w:rsid w:val="008F6AEE"/>
    <w:rsid w:val="0090064F"/>
    <w:rsid w:val="00903D9E"/>
    <w:rsid w:val="00917645"/>
    <w:rsid w:val="0092233B"/>
    <w:rsid w:val="00925342"/>
    <w:rsid w:val="00936F08"/>
    <w:rsid w:val="0094218B"/>
    <w:rsid w:val="00953801"/>
    <w:rsid w:val="009552E3"/>
    <w:rsid w:val="0095719D"/>
    <w:rsid w:val="00957737"/>
    <w:rsid w:val="00961DC0"/>
    <w:rsid w:val="00963316"/>
    <w:rsid w:val="00963CC3"/>
    <w:rsid w:val="0096474C"/>
    <w:rsid w:val="009754A5"/>
    <w:rsid w:val="009952F0"/>
    <w:rsid w:val="009A0C7C"/>
    <w:rsid w:val="009A41D3"/>
    <w:rsid w:val="009A510B"/>
    <w:rsid w:val="009B49C3"/>
    <w:rsid w:val="009C5A08"/>
    <w:rsid w:val="009C72FE"/>
    <w:rsid w:val="009D4896"/>
    <w:rsid w:val="009D6B67"/>
    <w:rsid w:val="009E6A21"/>
    <w:rsid w:val="009F0C88"/>
    <w:rsid w:val="009F700E"/>
    <w:rsid w:val="00A01B07"/>
    <w:rsid w:val="00A057A5"/>
    <w:rsid w:val="00A55991"/>
    <w:rsid w:val="00A56D15"/>
    <w:rsid w:val="00A61694"/>
    <w:rsid w:val="00A64A1E"/>
    <w:rsid w:val="00A72D27"/>
    <w:rsid w:val="00A768D6"/>
    <w:rsid w:val="00A85B8C"/>
    <w:rsid w:val="00A96DEA"/>
    <w:rsid w:val="00AB0C08"/>
    <w:rsid w:val="00AC2D5E"/>
    <w:rsid w:val="00AC4C32"/>
    <w:rsid w:val="00AE20E8"/>
    <w:rsid w:val="00AE3479"/>
    <w:rsid w:val="00AE59B9"/>
    <w:rsid w:val="00AF5953"/>
    <w:rsid w:val="00B02C4E"/>
    <w:rsid w:val="00B050D9"/>
    <w:rsid w:val="00B06EB4"/>
    <w:rsid w:val="00B168EB"/>
    <w:rsid w:val="00B21722"/>
    <w:rsid w:val="00B274FB"/>
    <w:rsid w:val="00B36FA5"/>
    <w:rsid w:val="00B51C89"/>
    <w:rsid w:val="00B55421"/>
    <w:rsid w:val="00B807B2"/>
    <w:rsid w:val="00B86F76"/>
    <w:rsid w:val="00B927EE"/>
    <w:rsid w:val="00B97032"/>
    <w:rsid w:val="00B97F47"/>
    <w:rsid w:val="00BA588B"/>
    <w:rsid w:val="00BB5706"/>
    <w:rsid w:val="00BC10F2"/>
    <w:rsid w:val="00BC4790"/>
    <w:rsid w:val="00BD00D4"/>
    <w:rsid w:val="00BE3C06"/>
    <w:rsid w:val="00BE62AA"/>
    <w:rsid w:val="00BF117D"/>
    <w:rsid w:val="00BF1A42"/>
    <w:rsid w:val="00C05496"/>
    <w:rsid w:val="00C061C0"/>
    <w:rsid w:val="00C233F0"/>
    <w:rsid w:val="00C27496"/>
    <w:rsid w:val="00C34E63"/>
    <w:rsid w:val="00C45F38"/>
    <w:rsid w:val="00C51A90"/>
    <w:rsid w:val="00C57D7E"/>
    <w:rsid w:val="00C61537"/>
    <w:rsid w:val="00C82C05"/>
    <w:rsid w:val="00C84B29"/>
    <w:rsid w:val="00C96DC8"/>
    <w:rsid w:val="00CA54E2"/>
    <w:rsid w:val="00CB4624"/>
    <w:rsid w:val="00CD5D56"/>
    <w:rsid w:val="00CE3DA4"/>
    <w:rsid w:val="00CF1377"/>
    <w:rsid w:val="00CF17C5"/>
    <w:rsid w:val="00D00184"/>
    <w:rsid w:val="00D1450C"/>
    <w:rsid w:val="00D57A5E"/>
    <w:rsid w:val="00D57B2A"/>
    <w:rsid w:val="00D611E0"/>
    <w:rsid w:val="00D61DDA"/>
    <w:rsid w:val="00D62DD0"/>
    <w:rsid w:val="00D63A0E"/>
    <w:rsid w:val="00D64444"/>
    <w:rsid w:val="00D66A1D"/>
    <w:rsid w:val="00D841CE"/>
    <w:rsid w:val="00D90F9F"/>
    <w:rsid w:val="00D97708"/>
    <w:rsid w:val="00DB460F"/>
    <w:rsid w:val="00DC2DB0"/>
    <w:rsid w:val="00DC308B"/>
    <w:rsid w:val="00DC4A5C"/>
    <w:rsid w:val="00DE0C00"/>
    <w:rsid w:val="00DE0F6D"/>
    <w:rsid w:val="00DF1AB0"/>
    <w:rsid w:val="00DF3364"/>
    <w:rsid w:val="00DF3683"/>
    <w:rsid w:val="00DF3BCF"/>
    <w:rsid w:val="00DF4844"/>
    <w:rsid w:val="00E02231"/>
    <w:rsid w:val="00E055DB"/>
    <w:rsid w:val="00E10FFC"/>
    <w:rsid w:val="00E24DE2"/>
    <w:rsid w:val="00E26B90"/>
    <w:rsid w:val="00E27BE6"/>
    <w:rsid w:val="00E30F34"/>
    <w:rsid w:val="00E35457"/>
    <w:rsid w:val="00E413AF"/>
    <w:rsid w:val="00E558DB"/>
    <w:rsid w:val="00E56A9A"/>
    <w:rsid w:val="00E62910"/>
    <w:rsid w:val="00E670E4"/>
    <w:rsid w:val="00E67A5E"/>
    <w:rsid w:val="00E74622"/>
    <w:rsid w:val="00E76588"/>
    <w:rsid w:val="00E76F97"/>
    <w:rsid w:val="00E85C22"/>
    <w:rsid w:val="00E90BB7"/>
    <w:rsid w:val="00E95558"/>
    <w:rsid w:val="00E97604"/>
    <w:rsid w:val="00EA6841"/>
    <w:rsid w:val="00EB2200"/>
    <w:rsid w:val="00EB48D2"/>
    <w:rsid w:val="00EB7068"/>
    <w:rsid w:val="00EC454B"/>
    <w:rsid w:val="00ED048F"/>
    <w:rsid w:val="00ED21CF"/>
    <w:rsid w:val="00ED2B88"/>
    <w:rsid w:val="00ED6212"/>
    <w:rsid w:val="00ED7C1C"/>
    <w:rsid w:val="00EE0378"/>
    <w:rsid w:val="00EF3B4A"/>
    <w:rsid w:val="00F03E85"/>
    <w:rsid w:val="00F05855"/>
    <w:rsid w:val="00F155E7"/>
    <w:rsid w:val="00F20562"/>
    <w:rsid w:val="00F22CEA"/>
    <w:rsid w:val="00F25107"/>
    <w:rsid w:val="00F40B24"/>
    <w:rsid w:val="00F519B6"/>
    <w:rsid w:val="00F61EB9"/>
    <w:rsid w:val="00F6434C"/>
    <w:rsid w:val="00F67760"/>
    <w:rsid w:val="00F74414"/>
    <w:rsid w:val="00FA5C17"/>
    <w:rsid w:val="00FE3B2B"/>
    <w:rsid w:val="00FE4BCE"/>
    <w:rsid w:val="00FE5477"/>
    <w:rsid w:val="00FE6B6B"/>
    <w:rsid w:val="00FF14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F97"/>
    <w:pPr>
      <w:spacing w:after="200" w:line="276" w:lineRule="auto"/>
      <w:jc w:val="both"/>
    </w:pPr>
    <w:rPr>
      <w:sz w:val="24"/>
    </w:rPr>
  </w:style>
  <w:style w:type="paragraph" w:styleId="Heading1">
    <w:name w:val="heading 1"/>
    <w:basedOn w:val="Normal"/>
    <w:next w:val="Normal"/>
    <w:link w:val="Heading1Char"/>
    <w:uiPriority w:val="99"/>
    <w:qFormat/>
    <w:rsid w:val="001A37FC"/>
    <w:pPr>
      <w:keepNext/>
      <w:keepLines/>
      <w:spacing w:before="480" w:after="0"/>
      <w:outlineLvl w:val="0"/>
    </w:pPr>
    <w:rPr>
      <w:b/>
      <w:bCs/>
      <w:color w:val="00B050"/>
      <w:sz w:val="28"/>
      <w:szCs w:val="28"/>
    </w:rPr>
  </w:style>
  <w:style w:type="paragraph" w:styleId="Heading2">
    <w:name w:val="heading 2"/>
    <w:basedOn w:val="Normal"/>
    <w:next w:val="Normal"/>
    <w:link w:val="Heading2Char"/>
    <w:uiPriority w:val="99"/>
    <w:qFormat/>
    <w:rsid w:val="00B050D9"/>
    <w:pPr>
      <w:keepNext/>
      <w:keepLines/>
      <w:spacing w:before="200" w:after="0"/>
      <w:outlineLvl w:val="1"/>
    </w:pPr>
    <w:rPr>
      <w:b/>
      <w:bCs/>
      <w:color w:val="00B050"/>
      <w:sz w:val="26"/>
      <w:szCs w:val="26"/>
    </w:rPr>
  </w:style>
  <w:style w:type="paragraph" w:styleId="Heading3">
    <w:name w:val="heading 3"/>
    <w:basedOn w:val="Normal"/>
    <w:next w:val="Normal"/>
    <w:link w:val="Heading3Char"/>
    <w:uiPriority w:val="99"/>
    <w:qFormat/>
    <w:rsid w:val="008A6887"/>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A37FC"/>
    <w:rPr>
      <w:b/>
      <w:bCs/>
      <w:color w:val="00B050"/>
      <w:sz w:val="28"/>
      <w:szCs w:val="28"/>
    </w:rPr>
  </w:style>
  <w:style w:type="character" w:customStyle="1" w:styleId="Heading2Char">
    <w:name w:val="Heading 2 Char"/>
    <w:basedOn w:val="DefaultParagraphFont"/>
    <w:link w:val="Heading2"/>
    <w:uiPriority w:val="99"/>
    <w:locked/>
    <w:rsid w:val="00B050D9"/>
    <w:rPr>
      <w:rFonts w:eastAsia="Times New Roman" w:cs="Times New Roman"/>
      <w:b/>
      <w:bCs/>
      <w:color w:val="00B050"/>
      <w:sz w:val="26"/>
      <w:szCs w:val="26"/>
    </w:rPr>
  </w:style>
  <w:style w:type="character" w:customStyle="1" w:styleId="Heading3Char">
    <w:name w:val="Heading 3 Char"/>
    <w:basedOn w:val="DefaultParagraphFont"/>
    <w:link w:val="Heading3"/>
    <w:uiPriority w:val="99"/>
    <w:semiHidden/>
    <w:locked/>
    <w:rsid w:val="008A6887"/>
    <w:rPr>
      <w:rFonts w:ascii="Cambria" w:hAnsi="Cambria" w:cs="Times New Roman"/>
      <w:b/>
      <w:bCs/>
      <w:color w:val="4F81BD"/>
    </w:rPr>
  </w:style>
  <w:style w:type="paragraph" w:customStyle="1" w:styleId="Default">
    <w:name w:val="Default"/>
    <w:rsid w:val="00DF4844"/>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DF4844"/>
    <w:pPr>
      <w:ind w:left="720"/>
      <w:contextualSpacing/>
    </w:pPr>
  </w:style>
  <w:style w:type="paragraph" w:styleId="Header">
    <w:name w:val="header"/>
    <w:basedOn w:val="Normal"/>
    <w:link w:val="HeaderChar"/>
    <w:uiPriority w:val="99"/>
    <w:rsid w:val="004640E1"/>
    <w:pPr>
      <w:tabs>
        <w:tab w:val="center" w:pos="4819"/>
        <w:tab w:val="right" w:pos="9638"/>
      </w:tabs>
      <w:spacing w:line="252" w:lineRule="auto"/>
    </w:pPr>
    <w:rPr>
      <w:szCs w:val="24"/>
    </w:rPr>
  </w:style>
  <w:style w:type="character" w:customStyle="1" w:styleId="HeaderChar">
    <w:name w:val="Header Char"/>
    <w:basedOn w:val="DefaultParagraphFont"/>
    <w:link w:val="Header"/>
    <w:uiPriority w:val="99"/>
    <w:locked/>
    <w:rsid w:val="004640E1"/>
    <w:rPr>
      <w:rFonts w:ascii="Calibri" w:eastAsia="Times New Roman" w:hAnsi="Calibri" w:cs="Times New Roman"/>
      <w:sz w:val="24"/>
      <w:szCs w:val="24"/>
    </w:rPr>
  </w:style>
  <w:style w:type="paragraph" w:styleId="BalloonText">
    <w:name w:val="Balloon Text"/>
    <w:basedOn w:val="Normal"/>
    <w:link w:val="BalloonTextChar"/>
    <w:uiPriority w:val="99"/>
    <w:semiHidden/>
    <w:rsid w:val="00464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40E1"/>
    <w:rPr>
      <w:rFonts w:ascii="Tahoma" w:hAnsi="Tahoma" w:cs="Tahoma"/>
      <w:sz w:val="16"/>
      <w:szCs w:val="16"/>
    </w:rPr>
  </w:style>
  <w:style w:type="character" w:customStyle="1" w:styleId="pp-headline-item">
    <w:name w:val="pp-headline-item"/>
    <w:basedOn w:val="DefaultParagraphFont"/>
    <w:uiPriority w:val="99"/>
    <w:rsid w:val="008A6887"/>
    <w:rPr>
      <w:rFonts w:cs="Times New Roman"/>
    </w:rPr>
  </w:style>
  <w:style w:type="character" w:customStyle="1" w:styleId="pp-place-title">
    <w:name w:val="pp-place-title"/>
    <w:basedOn w:val="DefaultParagraphFont"/>
    <w:uiPriority w:val="99"/>
    <w:rsid w:val="008A6887"/>
    <w:rPr>
      <w:rFonts w:cs="Times New Roman"/>
    </w:rPr>
  </w:style>
  <w:style w:type="character" w:styleId="Hyperlink">
    <w:name w:val="Hyperlink"/>
    <w:basedOn w:val="DefaultParagraphFont"/>
    <w:uiPriority w:val="99"/>
    <w:rsid w:val="002768B1"/>
    <w:rPr>
      <w:rFonts w:cs="Times New Roman"/>
      <w:color w:val="0000FF"/>
      <w:u w:val="single"/>
    </w:rPr>
  </w:style>
  <w:style w:type="character" w:customStyle="1" w:styleId="action">
    <w:name w:val="action"/>
    <w:basedOn w:val="DefaultParagraphFont"/>
    <w:uiPriority w:val="99"/>
    <w:rsid w:val="00DF3683"/>
    <w:rPr>
      <w:rFonts w:cs="Times New Roman"/>
    </w:rPr>
  </w:style>
  <w:style w:type="character" w:customStyle="1" w:styleId="location">
    <w:name w:val="location"/>
    <w:basedOn w:val="DefaultParagraphFont"/>
    <w:uiPriority w:val="99"/>
    <w:rsid w:val="00DF3683"/>
    <w:rPr>
      <w:rFonts w:cs="Times New Roman"/>
    </w:rPr>
  </w:style>
  <w:style w:type="character" w:customStyle="1" w:styleId="dirsegtext">
    <w:name w:val="dirsegtext"/>
    <w:basedOn w:val="DefaultParagraphFont"/>
    <w:uiPriority w:val="99"/>
    <w:rsid w:val="00197154"/>
    <w:rPr>
      <w:rFonts w:cs="Times New Roman"/>
    </w:rPr>
  </w:style>
  <w:style w:type="paragraph" w:styleId="TOC1">
    <w:name w:val="toc 1"/>
    <w:basedOn w:val="Normal"/>
    <w:next w:val="Normal"/>
    <w:autoRedefine/>
    <w:uiPriority w:val="39"/>
    <w:rsid w:val="00B050D9"/>
    <w:pPr>
      <w:spacing w:after="100"/>
    </w:pPr>
  </w:style>
  <w:style w:type="paragraph" w:styleId="TOC2">
    <w:name w:val="toc 2"/>
    <w:basedOn w:val="Normal"/>
    <w:next w:val="Normal"/>
    <w:autoRedefine/>
    <w:uiPriority w:val="39"/>
    <w:rsid w:val="00631481"/>
    <w:pPr>
      <w:tabs>
        <w:tab w:val="left" w:pos="851"/>
        <w:tab w:val="right" w:leader="dot" w:pos="9628"/>
      </w:tabs>
      <w:spacing w:after="100"/>
      <w:ind w:left="220"/>
    </w:pPr>
  </w:style>
  <w:style w:type="paragraph" w:styleId="TOC3">
    <w:name w:val="toc 3"/>
    <w:basedOn w:val="Normal"/>
    <w:next w:val="Normal"/>
    <w:autoRedefine/>
    <w:uiPriority w:val="39"/>
    <w:rsid w:val="00B050D9"/>
    <w:pPr>
      <w:spacing w:after="100"/>
      <w:ind w:left="440"/>
    </w:pPr>
  </w:style>
  <w:style w:type="paragraph" w:styleId="Footer">
    <w:name w:val="footer"/>
    <w:basedOn w:val="Normal"/>
    <w:link w:val="FooterChar"/>
    <w:uiPriority w:val="99"/>
    <w:rsid w:val="00195919"/>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195919"/>
    <w:rPr>
      <w:rFonts w:cs="Times New Roman"/>
      <w:sz w:val="24"/>
    </w:rPr>
  </w:style>
  <w:style w:type="table" w:styleId="TableGrid">
    <w:name w:val="Table Grid"/>
    <w:basedOn w:val="TableNormal"/>
    <w:uiPriority w:val="99"/>
    <w:rsid w:val="0011478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figura"/>
    <w:basedOn w:val="Normal"/>
    <w:next w:val="Normal"/>
    <w:uiPriority w:val="35"/>
    <w:unhideWhenUsed/>
    <w:qFormat/>
    <w:locked/>
    <w:rsid w:val="00BF117D"/>
    <w:pPr>
      <w:keepNext/>
      <w:spacing w:line="240" w:lineRule="auto"/>
      <w:jc w:val="center"/>
    </w:pPr>
    <w:rPr>
      <w:rFonts w:eastAsia="Calibri"/>
      <w:b/>
      <w:bCs/>
      <w:i/>
      <w:sz w:val="22"/>
      <w:szCs w:val="18"/>
      <w:lang w:eastAsia="en-US"/>
    </w:rPr>
  </w:style>
  <w:style w:type="paragraph" w:styleId="FootnoteText">
    <w:name w:val="footnote text"/>
    <w:basedOn w:val="Normal"/>
    <w:link w:val="FootnoteTextChar1"/>
    <w:uiPriority w:val="99"/>
    <w:semiHidden/>
    <w:rsid w:val="007B3B80"/>
    <w:pPr>
      <w:widowControl w:val="0"/>
      <w:autoSpaceDN w:val="0"/>
      <w:adjustRightInd w:val="0"/>
      <w:spacing w:before="60" w:after="60"/>
      <w:ind w:left="283" w:hanging="283"/>
    </w:pPr>
    <w:rPr>
      <w:sz w:val="20"/>
      <w:szCs w:val="20"/>
      <w:lang w:eastAsia="en-US"/>
    </w:rPr>
  </w:style>
  <w:style w:type="character" w:customStyle="1" w:styleId="FootnoteTextChar">
    <w:name w:val="Footnote Text Char"/>
    <w:basedOn w:val="DefaultParagraphFont"/>
    <w:uiPriority w:val="99"/>
    <w:semiHidden/>
    <w:rsid w:val="007B3B80"/>
    <w:rPr>
      <w:sz w:val="20"/>
      <w:szCs w:val="20"/>
    </w:rPr>
  </w:style>
  <w:style w:type="character" w:customStyle="1" w:styleId="FootnoteTextChar1">
    <w:name w:val="Footnote Text Char1"/>
    <w:basedOn w:val="DefaultParagraphFont"/>
    <w:link w:val="FootnoteText"/>
    <w:uiPriority w:val="99"/>
    <w:semiHidden/>
    <w:rsid w:val="007B3B80"/>
    <w:rPr>
      <w:sz w:val="20"/>
      <w:szCs w:val="20"/>
      <w:lang w:eastAsia="en-US"/>
    </w:rPr>
  </w:style>
  <w:style w:type="character" w:styleId="FootnoteReference">
    <w:name w:val="footnote reference"/>
    <w:basedOn w:val="DefaultParagraphFont"/>
    <w:uiPriority w:val="99"/>
    <w:semiHidden/>
    <w:rsid w:val="007B3B80"/>
    <w:rPr>
      <w:rFonts w:ascii="Calibri" w:hAnsi="Calibri" w:cs="Cambria"/>
      <w:position w:val="6"/>
      <w:sz w:val="16"/>
    </w:rPr>
  </w:style>
  <w:style w:type="paragraph" w:styleId="NoSpacing">
    <w:name w:val="No Spacing"/>
    <w:link w:val="NoSpacingChar"/>
    <w:uiPriority w:val="1"/>
    <w:qFormat/>
    <w:rsid w:val="00903D9E"/>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903D9E"/>
    <w:rPr>
      <w:rFonts w:asciiTheme="minorHAnsi" w:eastAsiaTheme="minorEastAsia" w:hAnsiTheme="minorHAnsi" w:cstheme="minorBidi"/>
      <w:lang w:val="en-US" w:eastAsia="en-US"/>
    </w:rPr>
  </w:style>
  <w:style w:type="table" w:customStyle="1" w:styleId="LightGrid-Accent11">
    <w:name w:val="Light Grid - Accent 11"/>
    <w:basedOn w:val="TableNormal"/>
    <w:uiPriority w:val="62"/>
    <w:rsid w:val="001D4D36"/>
    <w:rPr>
      <w:rFonts w:ascii="Times New Roman" w:hAnsi="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rsid w:val="00F25107"/>
    <w:pPr>
      <w:overflowPunct w:val="0"/>
      <w:autoSpaceDE w:val="0"/>
      <w:autoSpaceDN w:val="0"/>
      <w:adjustRightInd w:val="0"/>
      <w:spacing w:after="0" w:line="240" w:lineRule="auto"/>
      <w:jc w:val="left"/>
      <w:textAlignment w:val="baseline"/>
    </w:pPr>
    <w:rPr>
      <w:rFonts w:ascii="Times New Roman" w:hAnsi="Times New Roman"/>
      <w:szCs w:val="20"/>
      <w:lang w:eastAsia="en-US"/>
    </w:rPr>
  </w:style>
  <w:style w:type="paragraph" w:customStyle="1" w:styleId="Bullet">
    <w:name w:val="Bullet"/>
    <w:basedOn w:val="Normal"/>
    <w:qFormat/>
    <w:rsid w:val="00204B74"/>
    <w:pPr>
      <w:widowControl w:val="0"/>
      <w:numPr>
        <w:numId w:val="15"/>
      </w:numPr>
      <w:autoSpaceDN w:val="0"/>
      <w:adjustRightInd w:val="0"/>
      <w:contextualSpacing/>
    </w:pPr>
    <w:rPr>
      <w:rFonts w:eastAsia="Calibri"/>
      <w:sz w:val="22"/>
      <w:lang w:eastAsia="en-US"/>
    </w:rPr>
  </w:style>
  <w:style w:type="paragraph" w:styleId="NormalWeb">
    <w:name w:val="Normal (Web)"/>
    <w:basedOn w:val="Normal"/>
    <w:uiPriority w:val="99"/>
    <w:semiHidden/>
    <w:unhideWhenUsed/>
    <w:rsid w:val="00EF3B4A"/>
    <w:pPr>
      <w:spacing w:before="100" w:beforeAutospacing="1" w:after="100" w:afterAutospacing="1" w:line="240" w:lineRule="auto"/>
      <w:jc w:val="left"/>
    </w:pPr>
    <w:rPr>
      <w:rFonts w:ascii="Times New Roman" w:eastAsiaTheme="minorEastAsia"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F97"/>
    <w:pPr>
      <w:spacing w:after="200" w:line="276" w:lineRule="auto"/>
      <w:jc w:val="both"/>
    </w:pPr>
    <w:rPr>
      <w:sz w:val="24"/>
    </w:rPr>
  </w:style>
  <w:style w:type="paragraph" w:styleId="Heading1">
    <w:name w:val="heading 1"/>
    <w:basedOn w:val="Normal"/>
    <w:next w:val="Normal"/>
    <w:link w:val="Heading1Char"/>
    <w:uiPriority w:val="99"/>
    <w:qFormat/>
    <w:rsid w:val="001A37FC"/>
    <w:pPr>
      <w:keepNext/>
      <w:keepLines/>
      <w:spacing w:before="480" w:after="0"/>
      <w:outlineLvl w:val="0"/>
    </w:pPr>
    <w:rPr>
      <w:b/>
      <w:bCs/>
      <w:color w:val="00B050"/>
      <w:sz w:val="28"/>
      <w:szCs w:val="28"/>
    </w:rPr>
  </w:style>
  <w:style w:type="paragraph" w:styleId="Heading2">
    <w:name w:val="heading 2"/>
    <w:basedOn w:val="Normal"/>
    <w:next w:val="Normal"/>
    <w:link w:val="Heading2Char"/>
    <w:uiPriority w:val="99"/>
    <w:qFormat/>
    <w:rsid w:val="00B050D9"/>
    <w:pPr>
      <w:keepNext/>
      <w:keepLines/>
      <w:spacing w:before="200" w:after="0"/>
      <w:outlineLvl w:val="1"/>
    </w:pPr>
    <w:rPr>
      <w:b/>
      <w:bCs/>
      <w:color w:val="00B050"/>
      <w:sz w:val="26"/>
      <w:szCs w:val="26"/>
    </w:rPr>
  </w:style>
  <w:style w:type="paragraph" w:styleId="Heading3">
    <w:name w:val="heading 3"/>
    <w:basedOn w:val="Normal"/>
    <w:next w:val="Normal"/>
    <w:link w:val="Heading3Char"/>
    <w:uiPriority w:val="99"/>
    <w:qFormat/>
    <w:rsid w:val="008A6887"/>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A37FC"/>
    <w:rPr>
      <w:b/>
      <w:bCs/>
      <w:color w:val="00B050"/>
      <w:sz w:val="28"/>
      <w:szCs w:val="28"/>
    </w:rPr>
  </w:style>
  <w:style w:type="character" w:customStyle="1" w:styleId="Heading2Char">
    <w:name w:val="Heading 2 Char"/>
    <w:basedOn w:val="DefaultParagraphFont"/>
    <w:link w:val="Heading2"/>
    <w:uiPriority w:val="99"/>
    <w:locked/>
    <w:rsid w:val="00B050D9"/>
    <w:rPr>
      <w:rFonts w:eastAsia="Times New Roman" w:cs="Times New Roman"/>
      <w:b/>
      <w:bCs/>
      <w:color w:val="00B050"/>
      <w:sz w:val="26"/>
      <w:szCs w:val="26"/>
    </w:rPr>
  </w:style>
  <w:style w:type="character" w:customStyle="1" w:styleId="Heading3Char">
    <w:name w:val="Heading 3 Char"/>
    <w:basedOn w:val="DefaultParagraphFont"/>
    <w:link w:val="Heading3"/>
    <w:uiPriority w:val="99"/>
    <w:semiHidden/>
    <w:locked/>
    <w:rsid w:val="008A6887"/>
    <w:rPr>
      <w:rFonts w:ascii="Cambria" w:hAnsi="Cambria" w:cs="Times New Roman"/>
      <w:b/>
      <w:bCs/>
      <w:color w:val="4F81BD"/>
    </w:rPr>
  </w:style>
  <w:style w:type="paragraph" w:customStyle="1" w:styleId="Default">
    <w:name w:val="Default"/>
    <w:rsid w:val="00DF4844"/>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DF4844"/>
    <w:pPr>
      <w:ind w:left="720"/>
      <w:contextualSpacing/>
    </w:pPr>
  </w:style>
  <w:style w:type="paragraph" w:styleId="Header">
    <w:name w:val="header"/>
    <w:basedOn w:val="Normal"/>
    <w:link w:val="HeaderChar"/>
    <w:uiPriority w:val="99"/>
    <w:rsid w:val="004640E1"/>
    <w:pPr>
      <w:tabs>
        <w:tab w:val="center" w:pos="4819"/>
        <w:tab w:val="right" w:pos="9638"/>
      </w:tabs>
      <w:spacing w:line="252" w:lineRule="auto"/>
    </w:pPr>
    <w:rPr>
      <w:szCs w:val="24"/>
    </w:rPr>
  </w:style>
  <w:style w:type="character" w:customStyle="1" w:styleId="HeaderChar">
    <w:name w:val="Header Char"/>
    <w:basedOn w:val="DefaultParagraphFont"/>
    <w:link w:val="Header"/>
    <w:uiPriority w:val="99"/>
    <w:locked/>
    <w:rsid w:val="004640E1"/>
    <w:rPr>
      <w:rFonts w:ascii="Calibri" w:eastAsia="Times New Roman" w:hAnsi="Calibri" w:cs="Times New Roman"/>
      <w:sz w:val="24"/>
      <w:szCs w:val="24"/>
    </w:rPr>
  </w:style>
  <w:style w:type="paragraph" w:styleId="BalloonText">
    <w:name w:val="Balloon Text"/>
    <w:basedOn w:val="Normal"/>
    <w:link w:val="BalloonTextChar"/>
    <w:uiPriority w:val="99"/>
    <w:semiHidden/>
    <w:rsid w:val="00464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40E1"/>
    <w:rPr>
      <w:rFonts w:ascii="Tahoma" w:hAnsi="Tahoma" w:cs="Tahoma"/>
      <w:sz w:val="16"/>
      <w:szCs w:val="16"/>
    </w:rPr>
  </w:style>
  <w:style w:type="character" w:customStyle="1" w:styleId="pp-headline-item">
    <w:name w:val="pp-headline-item"/>
    <w:basedOn w:val="DefaultParagraphFont"/>
    <w:uiPriority w:val="99"/>
    <w:rsid w:val="008A6887"/>
    <w:rPr>
      <w:rFonts w:cs="Times New Roman"/>
    </w:rPr>
  </w:style>
  <w:style w:type="character" w:customStyle="1" w:styleId="pp-place-title">
    <w:name w:val="pp-place-title"/>
    <w:basedOn w:val="DefaultParagraphFont"/>
    <w:uiPriority w:val="99"/>
    <w:rsid w:val="008A6887"/>
    <w:rPr>
      <w:rFonts w:cs="Times New Roman"/>
    </w:rPr>
  </w:style>
  <w:style w:type="character" w:styleId="Hyperlink">
    <w:name w:val="Hyperlink"/>
    <w:basedOn w:val="DefaultParagraphFont"/>
    <w:uiPriority w:val="99"/>
    <w:rsid w:val="002768B1"/>
    <w:rPr>
      <w:rFonts w:cs="Times New Roman"/>
      <w:color w:val="0000FF"/>
      <w:u w:val="single"/>
    </w:rPr>
  </w:style>
  <w:style w:type="character" w:customStyle="1" w:styleId="action">
    <w:name w:val="action"/>
    <w:basedOn w:val="DefaultParagraphFont"/>
    <w:uiPriority w:val="99"/>
    <w:rsid w:val="00DF3683"/>
    <w:rPr>
      <w:rFonts w:cs="Times New Roman"/>
    </w:rPr>
  </w:style>
  <w:style w:type="character" w:customStyle="1" w:styleId="location">
    <w:name w:val="location"/>
    <w:basedOn w:val="DefaultParagraphFont"/>
    <w:uiPriority w:val="99"/>
    <w:rsid w:val="00DF3683"/>
    <w:rPr>
      <w:rFonts w:cs="Times New Roman"/>
    </w:rPr>
  </w:style>
  <w:style w:type="character" w:customStyle="1" w:styleId="dirsegtext">
    <w:name w:val="dirsegtext"/>
    <w:basedOn w:val="DefaultParagraphFont"/>
    <w:uiPriority w:val="99"/>
    <w:rsid w:val="00197154"/>
    <w:rPr>
      <w:rFonts w:cs="Times New Roman"/>
    </w:rPr>
  </w:style>
  <w:style w:type="paragraph" w:styleId="TOC1">
    <w:name w:val="toc 1"/>
    <w:basedOn w:val="Normal"/>
    <w:next w:val="Normal"/>
    <w:autoRedefine/>
    <w:uiPriority w:val="39"/>
    <w:rsid w:val="00B050D9"/>
    <w:pPr>
      <w:spacing w:after="100"/>
    </w:pPr>
  </w:style>
  <w:style w:type="paragraph" w:styleId="TOC2">
    <w:name w:val="toc 2"/>
    <w:basedOn w:val="Normal"/>
    <w:next w:val="Normal"/>
    <w:autoRedefine/>
    <w:uiPriority w:val="39"/>
    <w:rsid w:val="00631481"/>
    <w:pPr>
      <w:tabs>
        <w:tab w:val="left" w:pos="851"/>
        <w:tab w:val="right" w:leader="dot" w:pos="9628"/>
      </w:tabs>
      <w:spacing w:after="100"/>
      <w:ind w:left="220"/>
    </w:pPr>
  </w:style>
  <w:style w:type="paragraph" w:styleId="TOC3">
    <w:name w:val="toc 3"/>
    <w:basedOn w:val="Normal"/>
    <w:next w:val="Normal"/>
    <w:autoRedefine/>
    <w:uiPriority w:val="39"/>
    <w:rsid w:val="00B050D9"/>
    <w:pPr>
      <w:spacing w:after="100"/>
      <w:ind w:left="440"/>
    </w:pPr>
  </w:style>
  <w:style w:type="paragraph" w:styleId="Footer">
    <w:name w:val="footer"/>
    <w:basedOn w:val="Normal"/>
    <w:link w:val="FooterChar"/>
    <w:uiPriority w:val="99"/>
    <w:rsid w:val="00195919"/>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195919"/>
    <w:rPr>
      <w:rFonts w:cs="Times New Roman"/>
      <w:sz w:val="24"/>
    </w:rPr>
  </w:style>
  <w:style w:type="table" w:styleId="TableGrid">
    <w:name w:val="Table Grid"/>
    <w:basedOn w:val="TableNormal"/>
    <w:uiPriority w:val="99"/>
    <w:rsid w:val="0011478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figura"/>
    <w:basedOn w:val="Normal"/>
    <w:next w:val="Normal"/>
    <w:uiPriority w:val="35"/>
    <w:unhideWhenUsed/>
    <w:qFormat/>
    <w:locked/>
    <w:rsid w:val="00BF117D"/>
    <w:pPr>
      <w:keepNext/>
      <w:spacing w:line="240" w:lineRule="auto"/>
      <w:jc w:val="center"/>
    </w:pPr>
    <w:rPr>
      <w:rFonts w:eastAsia="Calibri"/>
      <w:b/>
      <w:bCs/>
      <w:i/>
      <w:sz w:val="22"/>
      <w:szCs w:val="18"/>
      <w:lang w:eastAsia="en-US"/>
    </w:rPr>
  </w:style>
  <w:style w:type="paragraph" w:styleId="FootnoteText">
    <w:name w:val="footnote text"/>
    <w:basedOn w:val="Normal"/>
    <w:link w:val="FootnoteTextChar1"/>
    <w:uiPriority w:val="99"/>
    <w:semiHidden/>
    <w:rsid w:val="007B3B80"/>
    <w:pPr>
      <w:widowControl w:val="0"/>
      <w:autoSpaceDN w:val="0"/>
      <w:adjustRightInd w:val="0"/>
      <w:spacing w:before="60" w:after="60"/>
      <w:ind w:left="283" w:hanging="283"/>
    </w:pPr>
    <w:rPr>
      <w:sz w:val="20"/>
      <w:szCs w:val="20"/>
      <w:lang w:eastAsia="en-US"/>
    </w:rPr>
  </w:style>
  <w:style w:type="character" w:customStyle="1" w:styleId="FootnoteTextChar">
    <w:name w:val="Footnote Text Char"/>
    <w:basedOn w:val="DefaultParagraphFont"/>
    <w:uiPriority w:val="99"/>
    <w:semiHidden/>
    <w:rsid w:val="007B3B80"/>
    <w:rPr>
      <w:sz w:val="20"/>
      <w:szCs w:val="20"/>
    </w:rPr>
  </w:style>
  <w:style w:type="character" w:customStyle="1" w:styleId="FootnoteTextChar1">
    <w:name w:val="Footnote Text Char1"/>
    <w:basedOn w:val="DefaultParagraphFont"/>
    <w:link w:val="FootnoteText"/>
    <w:uiPriority w:val="99"/>
    <w:semiHidden/>
    <w:rsid w:val="007B3B80"/>
    <w:rPr>
      <w:sz w:val="20"/>
      <w:szCs w:val="20"/>
      <w:lang w:eastAsia="en-US"/>
    </w:rPr>
  </w:style>
  <w:style w:type="character" w:styleId="FootnoteReference">
    <w:name w:val="footnote reference"/>
    <w:basedOn w:val="DefaultParagraphFont"/>
    <w:uiPriority w:val="99"/>
    <w:semiHidden/>
    <w:rsid w:val="007B3B80"/>
    <w:rPr>
      <w:rFonts w:ascii="Calibri" w:hAnsi="Calibri" w:cs="Cambria"/>
      <w:position w:val="6"/>
      <w:sz w:val="16"/>
    </w:rPr>
  </w:style>
  <w:style w:type="paragraph" w:styleId="NoSpacing">
    <w:name w:val="No Spacing"/>
    <w:link w:val="NoSpacingChar"/>
    <w:uiPriority w:val="1"/>
    <w:qFormat/>
    <w:rsid w:val="00903D9E"/>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903D9E"/>
    <w:rPr>
      <w:rFonts w:asciiTheme="minorHAnsi" w:eastAsiaTheme="minorEastAsia" w:hAnsiTheme="minorHAnsi" w:cstheme="minorBidi"/>
      <w:lang w:val="en-US" w:eastAsia="en-US"/>
    </w:rPr>
  </w:style>
  <w:style w:type="table" w:customStyle="1" w:styleId="LightGrid-Accent11">
    <w:name w:val="Light Grid - Accent 11"/>
    <w:basedOn w:val="TableNormal"/>
    <w:uiPriority w:val="62"/>
    <w:rsid w:val="001D4D36"/>
    <w:rPr>
      <w:rFonts w:ascii="Times New Roman" w:hAnsi="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rsid w:val="00F25107"/>
    <w:pPr>
      <w:overflowPunct w:val="0"/>
      <w:autoSpaceDE w:val="0"/>
      <w:autoSpaceDN w:val="0"/>
      <w:adjustRightInd w:val="0"/>
      <w:spacing w:after="0" w:line="240" w:lineRule="auto"/>
      <w:jc w:val="left"/>
      <w:textAlignment w:val="baseline"/>
    </w:pPr>
    <w:rPr>
      <w:rFonts w:ascii="Times New Roman" w:hAnsi="Times New Roman"/>
      <w:szCs w:val="20"/>
      <w:lang w:eastAsia="en-US"/>
    </w:rPr>
  </w:style>
  <w:style w:type="paragraph" w:customStyle="1" w:styleId="Bullet">
    <w:name w:val="Bullet"/>
    <w:basedOn w:val="Normal"/>
    <w:qFormat/>
    <w:rsid w:val="00204B74"/>
    <w:pPr>
      <w:widowControl w:val="0"/>
      <w:numPr>
        <w:numId w:val="15"/>
      </w:numPr>
      <w:autoSpaceDN w:val="0"/>
      <w:adjustRightInd w:val="0"/>
      <w:contextualSpacing/>
    </w:pPr>
    <w:rPr>
      <w:rFonts w:eastAsia="Calibri"/>
      <w:sz w:val="22"/>
      <w:lang w:eastAsia="en-US"/>
    </w:rPr>
  </w:style>
  <w:style w:type="paragraph" w:styleId="NormalWeb">
    <w:name w:val="Normal (Web)"/>
    <w:basedOn w:val="Normal"/>
    <w:uiPriority w:val="99"/>
    <w:semiHidden/>
    <w:unhideWhenUsed/>
    <w:rsid w:val="00EF3B4A"/>
    <w:pPr>
      <w:spacing w:before="100" w:beforeAutospacing="1" w:after="100" w:afterAutospacing="1" w:line="240" w:lineRule="auto"/>
      <w:jc w:val="left"/>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658385">
      <w:bodyDiv w:val="1"/>
      <w:marLeft w:val="0"/>
      <w:marRight w:val="0"/>
      <w:marTop w:val="0"/>
      <w:marBottom w:val="0"/>
      <w:divBdr>
        <w:top w:val="none" w:sz="0" w:space="0" w:color="auto"/>
        <w:left w:val="none" w:sz="0" w:space="0" w:color="auto"/>
        <w:bottom w:val="none" w:sz="0" w:space="0" w:color="auto"/>
        <w:right w:val="none" w:sz="0" w:space="0" w:color="auto"/>
      </w:divBdr>
    </w:div>
    <w:div w:id="565653875">
      <w:bodyDiv w:val="1"/>
      <w:marLeft w:val="0"/>
      <w:marRight w:val="0"/>
      <w:marTop w:val="0"/>
      <w:marBottom w:val="0"/>
      <w:divBdr>
        <w:top w:val="none" w:sz="0" w:space="0" w:color="auto"/>
        <w:left w:val="none" w:sz="0" w:space="0" w:color="auto"/>
        <w:bottom w:val="none" w:sz="0" w:space="0" w:color="auto"/>
        <w:right w:val="none" w:sz="0" w:space="0" w:color="auto"/>
      </w:divBdr>
    </w:div>
    <w:div w:id="598290597">
      <w:bodyDiv w:val="1"/>
      <w:marLeft w:val="0"/>
      <w:marRight w:val="0"/>
      <w:marTop w:val="0"/>
      <w:marBottom w:val="0"/>
      <w:divBdr>
        <w:top w:val="none" w:sz="0" w:space="0" w:color="auto"/>
        <w:left w:val="none" w:sz="0" w:space="0" w:color="auto"/>
        <w:bottom w:val="none" w:sz="0" w:space="0" w:color="auto"/>
        <w:right w:val="none" w:sz="0" w:space="0" w:color="auto"/>
      </w:divBdr>
    </w:div>
    <w:div w:id="642470553">
      <w:bodyDiv w:val="1"/>
      <w:marLeft w:val="0"/>
      <w:marRight w:val="0"/>
      <w:marTop w:val="0"/>
      <w:marBottom w:val="0"/>
      <w:divBdr>
        <w:top w:val="none" w:sz="0" w:space="0" w:color="auto"/>
        <w:left w:val="none" w:sz="0" w:space="0" w:color="auto"/>
        <w:bottom w:val="none" w:sz="0" w:space="0" w:color="auto"/>
        <w:right w:val="none" w:sz="0" w:space="0" w:color="auto"/>
      </w:divBdr>
    </w:div>
    <w:div w:id="815030295">
      <w:bodyDiv w:val="1"/>
      <w:marLeft w:val="0"/>
      <w:marRight w:val="0"/>
      <w:marTop w:val="0"/>
      <w:marBottom w:val="0"/>
      <w:divBdr>
        <w:top w:val="none" w:sz="0" w:space="0" w:color="auto"/>
        <w:left w:val="none" w:sz="0" w:space="0" w:color="auto"/>
        <w:bottom w:val="none" w:sz="0" w:space="0" w:color="auto"/>
        <w:right w:val="none" w:sz="0" w:space="0" w:color="auto"/>
      </w:divBdr>
    </w:div>
    <w:div w:id="820385559">
      <w:bodyDiv w:val="1"/>
      <w:marLeft w:val="0"/>
      <w:marRight w:val="0"/>
      <w:marTop w:val="0"/>
      <w:marBottom w:val="0"/>
      <w:divBdr>
        <w:top w:val="none" w:sz="0" w:space="0" w:color="auto"/>
        <w:left w:val="none" w:sz="0" w:space="0" w:color="auto"/>
        <w:bottom w:val="none" w:sz="0" w:space="0" w:color="auto"/>
        <w:right w:val="none" w:sz="0" w:space="0" w:color="auto"/>
      </w:divBdr>
    </w:div>
    <w:div w:id="847715792">
      <w:bodyDiv w:val="1"/>
      <w:marLeft w:val="0"/>
      <w:marRight w:val="0"/>
      <w:marTop w:val="0"/>
      <w:marBottom w:val="0"/>
      <w:divBdr>
        <w:top w:val="none" w:sz="0" w:space="0" w:color="auto"/>
        <w:left w:val="none" w:sz="0" w:space="0" w:color="auto"/>
        <w:bottom w:val="none" w:sz="0" w:space="0" w:color="auto"/>
        <w:right w:val="none" w:sz="0" w:space="0" w:color="auto"/>
      </w:divBdr>
    </w:div>
    <w:div w:id="896286180">
      <w:bodyDiv w:val="1"/>
      <w:marLeft w:val="0"/>
      <w:marRight w:val="0"/>
      <w:marTop w:val="0"/>
      <w:marBottom w:val="0"/>
      <w:divBdr>
        <w:top w:val="none" w:sz="0" w:space="0" w:color="auto"/>
        <w:left w:val="none" w:sz="0" w:space="0" w:color="auto"/>
        <w:bottom w:val="none" w:sz="0" w:space="0" w:color="auto"/>
        <w:right w:val="none" w:sz="0" w:space="0" w:color="auto"/>
      </w:divBdr>
    </w:div>
    <w:div w:id="1080327032">
      <w:bodyDiv w:val="1"/>
      <w:marLeft w:val="0"/>
      <w:marRight w:val="0"/>
      <w:marTop w:val="0"/>
      <w:marBottom w:val="0"/>
      <w:divBdr>
        <w:top w:val="none" w:sz="0" w:space="0" w:color="auto"/>
        <w:left w:val="none" w:sz="0" w:space="0" w:color="auto"/>
        <w:bottom w:val="none" w:sz="0" w:space="0" w:color="auto"/>
        <w:right w:val="none" w:sz="0" w:space="0" w:color="auto"/>
      </w:divBdr>
    </w:div>
    <w:div w:id="1223062755">
      <w:bodyDiv w:val="1"/>
      <w:marLeft w:val="0"/>
      <w:marRight w:val="0"/>
      <w:marTop w:val="0"/>
      <w:marBottom w:val="0"/>
      <w:divBdr>
        <w:top w:val="none" w:sz="0" w:space="0" w:color="auto"/>
        <w:left w:val="none" w:sz="0" w:space="0" w:color="auto"/>
        <w:bottom w:val="none" w:sz="0" w:space="0" w:color="auto"/>
        <w:right w:val="none" w:sz="0" w:space="0" w:color="auto"/>
      </w:divBdr>
    </w:div>
    <w:div w:id="1291979715">
      <w:bodyDiv w:val="1"/>
      <w:marLeft w:val="0"/>
      <w:marRight w:val="0"/>
      <w:marTop w:val="0"/>
      <w:marBottom w:val="0"/>
      <w:divBdr>
        <w:top w:val="none" w:sz="0" w:space="0" w:color="auto"/>
        <w:left w:val="none" w:sz="0" w:space="0" w:color="auto"/>
        <w:bottom w:val="none" w:sz="0" w:space="0" w:color="auto"/>
        <w:right w:val="none" w:sz="0" w:space="0" w:color="auto"/>
      </w:divBdr>
    </w:div>
    <w:div w:id="1644962207">
      <w:bodyDiv w:val="1"/>
      <w:marLeft w:val="0"/>
      <w:marRight w:val="0"/>
      <w:marTop w:val="0"/>
      <w:marBottom w:val="0"/>
      <w:divBdr>
        <w:top w:val="none" w:sz="0" w:space="0" w:color="auto"/>
        <w:left w:val="none" w:sz="0" w:space="0" w:color="auto"/>
        <w:bottom w:val="none" w:sz="0" w:space="0" w:color="auto"/>
        <w:right w:val="none" w:sz="0" w:space="0" w:color="auto"/>
      </w:divBdr>
    </w:div>
    <w:div w:id="1711107792">
      <w:marLeft w:val="0"/>
      <w:marRight w:val="0"/>
      <w:marTop w:val="0"/>
      <w:marBottom w:val="0"/>
      <w:divBdr>
        <w:top w:val="none" w:sz="0" w:space="0" w:color="auto"/>
        <w:left w:val="none" w:sz="0" w:space="0" w:color="auto"/>
        <w:bottom w:val="none" w:sz="0" w:space="0" w:color="auto"/>
        <w:right w:val="none" w:sz="0" w:space="0" w:color="auto"/>
      </w:divBdr>
      <w:divsChild>
        <w:div w:id="1711107810">
          <w:marLeft w:val="0"/>
          <w:marRight w:val="0"/>
          <w:marTop w:val="0"/>
          <w:marBottom w:val="0"/>
          <w:divBdr>
            <w:top w:val="none" w:sz="0" w:space="0" w:color="auto"/>
            <w:left w:val="none" w:sz="0" w:space="0" w:color="auto"/>
            <w:bottom w:val="none" w:sz="0" w:space="0" w:color="auto"/>
            <w:right w:val="none" w:sz="0" w:space="0" w:color="auto"/>
          </w:divBdr>
          <w:divsChild>
            <w:div w:id="1711107790">
              <w:marLeft w:val="0"/>
              <w:marRight w:val="0"/>
              <w:marTop w:val="0"/>
              <w:marBottom w:val="0"/>
              <w:divBdr>
                <w:top w:val="none" w:sz="0" w:space="0" w:color="auto"/>
                <w:left w:val="none" w:sz="0" w:space="0" w:color="auto"/>
                <w:bottom w:val="none" w:sz="0" w:space="0" w:color="auto"/>
                <w:right w:val="none" w:sz="0" w:space="0" w:color="auto"/>
              </w:divBdr>
              <w:divsChild>
                <w:div w:id="1711107794">
                  <w:marLeft w:val="0"/>
                  <w:marRight w:val="0"/>
                  <w:marTop w:val="0"/>
                  <w:marBottom w:val="0"/>
                  <w:divBdr>
                    <w:top w:val="none" w:sz="0" w:space="0" w:color="auto"/>
                    <w:left w:val="none" w:sz="0" w:space="0" w:color="auto"/>
                    <w:bottom w:val="none" w:sz="0" w:space="0" w:color="auto"/>
                    <w:right w:val="none" w:sz="0" w:space="0" w:color="auto"/>
                  </w:divBdr>
                  <w:divsChild>
                    <w:div w:id="1711107811">
                      <w:marLeft w:val="0"/>
                      <w:marRight w:val="0"/>
                      <w:marTop w:val="0"/>
                      <w:marBottom w:val="0"/>
                      <w:divBdr>
                        <w:top w:val="none" w:sz="0" w:space="0" w:color="auto"/>
                        <w:left w:val="none" w:sz="0" w:space="0" w:color="auto"/>
                        <w:bottom w:val="none" w:sz="0" w:space="0" w:color="auto"/>
                        <w:right w:val="none" w:sz="0" w:space="0" w:color="auto"/>
                      </w:divBdr>
                      <w:divsChild>
                        <w:div w:id="1711107808">
                          <w:marLeft w:val="0"/>
                          <w:marRight w:val="0"/>
                          <w:marTop w:val="0"/>
                          <w:marBottom w:val="0"/>
                          <w:divBdr>
                            <w:top w:val="none" w:sz="0" w:space="0" w:color="auto"/>
                            <w:left w:val="none" w:sz="0" w:space="0" w:color="auto"/>
                            <w:bottom w:val="none" w:sz="0" w:space="0" w:color="auto"/>
                            <w:right w:val="none" w:sz="0" w:space="0" w:color="auto"/>
                          </w:divBdr>
                          <w:divsChild>
                            <w:div w:id="1711107812">
                              <w:marLeft w:val="0"/>
                              <w:marRight w:val="0"/>
                              <w:marTop w:val="0"/>
                              <w:marBottom w:val="0"/>
                              <w:divBdr>
                                <w:top w:val="none" w:sz="0" w:space="0" w:color="auto"/>
                                <w:left w:val="none" w:sz="0" w:space="0" w:color="auto"/>
                                <w:bottom w:val="none" w:sz="0" w:space="0" w:color="auto"/>
                                <w:right w:val="none" w:sz="0" w:space="0" w:color="auto"/>
                              </w:divBdr>
                              <w:divsChild>
                                <w:div w:id="1711107805">
                                  <w:marLeft w:val="150"/>
                                  <w:marRight w:val="0"/>
                                  <w:marTop w:val="0"/>
                                  <w:marBottom w:val="0"/>
                                  <w:divBdr>
                                    <w:top w:val="none" w:sz="0" w:space="0" w:color="auto"/>
                                    <w:left w:val="none" w:sz="0" w:space="0" w:color="auto"/>
                                    <w:bottom w:val="none" w:sz="0" w:space="0" w:color="auto"/>
                                    <w:right w:val="none" w:sz="0" w:space="0" w:color="auto"/>
                                  </w:divBdr>
                                  <w:divsChild>
                                    <w:div w:id="1711107797">
                                      <w:marLeft w:val="0"/>
                                      <w:marRight w:val="0"/>
                                      <w:marTop w:val="0"/>
                                      <w:marBottom w:val="0"/>
                                      <w:divBdr>
                                        <w:top w:val="none" w:sz="0" w:space="0" w:color="auto"/>
                                        <w:left w:val="none" w:sz="0" w:space="0" w:color="auto"/>
                                        <w:bottom w:val="none" w:sz="0" w:space="0" w:color="auto"/>
                                        <w:right w:val="none" w:sz="0" w:space="0" w:color="auto"/>
                                      </w:divBdr>
                                      <w:divsChild>
                                        <w:div w:id="1711107807">
                                          <w:marLeft w:val="0"/>
                                          <w:marRight w:val="0"/>
                                          <w:marTop w:val="0"/>
                                          <w:marBottom w:val="0"/>
                                          <w:divBdr>
                                            <w:top w:val="none" w:sz="0" w:space="0" w:color="auto"/>
                                            <w:left w:val="none" w:sz="0" w:space="0" w:color="auto"/>
                                            <w:bottom w:val="none" w:sz="0" w:space="0" w:color="auto"/>
                                            <w:right w:val="none" w:sz="0" w:space="0" w:color="auto"/>
                                          </w:divBdr>
                                          <w:divsChild>
                                            <w:div w:id="1711107803">
                                              <w:marLeft w:val="0"/>
                                              <w:marRight w:val="0"/>
                                              <w:marTop w:val="0"/>
                                              <w:marBottom w:val="0"/>
                                              <w:divBdr>
                                                <w:top w:val="none" w:sz="0" w:space="0" w:color="auto"/>
                                                <w:left w:val="none" w:sz="0" w:space="0" w:color="auto"/>
                                                <w:bottom w:val="none" w:sz="0" w:space="0" w:color="auto"/>
                                                <w:right w:val="none" w:sz="0" w:space="0" w:color="auto"/>
                                              </w:divBdr>
                                              <w:divsChild>
                                                <w:div w:id="1711107789">
                                                  <w:marLeft w:val="0"/>
                                                  <w:marRight w:val="0"/>
                                                  <w:marTop w:val="0"/>
                                                  <w:marBottom w:val="0"/>
                                                  <w:divBdr>
                                                    <w:top w:val="none" w:sz="0" w:space="0" w:color="auto"/>
                                                    <w:left w:val="none" w:sz="0" w:space="0" w:color="auto"/>
                                                    <w:bottom w:val="none" w:sz="0" w:space="0" w:color="auto"/>
                                                    <w:right w:val="none" w:sz="0" w:space="0" w:color="auto"/>
                                                  </w:divBdr>
                                                </w:div>
                                                <w:div w:id="1711107791">
                                                  <w:marLeft w:val="0"/>
                                                  <w:marRight w:val="0"/>
                                                  <w:marTop w:val="0"/>
                                                  <w:marBottom w:val="0"/>
                                                  <w:divBdr>
                                                    <w:top w:val="none" w:sz="0" w:space="0" w:color="auto"/>
                                                    <w:left w:val="none" w:sz="0" w:space="0" w:color="auto"/>
                                                    <w:bottom w:val="none" w:sz="0" w:space="0" w:color="auto"/>
                                                    <w:right w:val="none" w:sz="0" w:space="0" w:color="auto"/>
                                                  </w:divBdr>
                                                </w:div>
                                                <w:div w:id="1711107793">
                                                  <w:marLeft w:val="0"/>
                                                  <w:marRight w:val="0"/>
                                                  <w:marTop w:val="0"/>
                                                  <w:marBottom w:val="0"/>
                                                  <w:divBdr>
                                                    <w:top w:val="none" w:sz="0" w:space="0" w:color="auto"/>
                                                    <w:left w:val="none" w:sz="0" w:space="0" w:color="auto"/>
                                                    <w:bottom w:val="none" w:sz="0" w:space="0" w:color="auto"/>
                                                    <w:right w:val="none" w:sz="0" w:space="0" w:color="auto"/>
                                                  </w:divBdr>
                                                </w:div>
                                                <w:div w:id="1711107795">
                                                  <w:marLeft w:val="0"/>
                                                  <w:marRight w:val="0"/>
                                                  <w:marTop w:val="0"/>
                                                  <w:marBottom w:val="0"/>
                                                  <w:divBdr>
                                                    <w:top w:val="none" w:sz="0" w:space="0" w:color="auto"/>
                                                    <w:left w:val="none" w:sz="0" w:space="0" w:color="auto"/>
                                                    <w:bottom w:val="none" w:sz="0" w:space="0" w:color="auto"/>
                                                    <w:right w:val="none" w:sz="0" w:space="0" w:color="auto"/>
                                                  </w:divBdr>
                                                </w:div>
                                                <w:div w:id="1711107796">
                                                  <w:marLeft w:val="0"/>
                                                  <w:marRight w:val="0"/>
                                                  <w:marTop w:val="0"/>
                                                  <w:marBottom w:val="0"/>
                                                  <w:divBdr>
                                                    <w:top w:val="none" w:sz="0" w:space="0" w:color="auto"/>
                                                    <w:left w:val="none" w:sz="0" w:space="0" w:color="auto"/>
                                                    <w:bottom w:val="none" w:sz="0" w:space="0" w:color="auto"/>
                                                    <w:right w:val="none" w:sz="0" w:space="0" w:color="auto"/>
                                                  </w:divBdr>
                                                </w:div>
                                                <w:div w:id="1711107798">
                                                  <w:marLeft w:val="0"/>
                                                  <w:marRight w:val="0"/>
                                                  <w:marTop w:val="0"/>
                                                  <w:marBottom w:val="0"/>
                                                  <w:divBdr>
                                                    <w:top w:val="none" w:sz="0" w:space="0" w:color="auto"/>
                                                    <w:left w:val="none" w:sz="0" w:space="0" w:color="auto"/>
                                                    <w:bottom w:val="none" w:sz="0" w:space="0" w:color="auto"/>
                                                    <w:right w:val="none" w:sz="0" w:space="0" w:color="auto"/>
                                                  </w:divBdr>
                                                </w:div>
                                                <w:div w:id="1711107799">
                                                  <w:marLeft w:val="0"/>
                                                  <w:marRight w:val="0"/>
                                                  <w:marTop w:val="0"/>
                                                  <w:marBottom w:val="0"/>
                                                  <w:divBdr>
                                                    <w:top w:val="none" w:sz="0" w:space="0" w:color="auto"/>
                                                    <w:left w:val="none" w:sz="0" w:space="0" w:color="auto"/>
                                                    <w:bottom w:val="none" w:sz="0" w:space="0" w:color="auto"/>
                                                    <w:right w:val="none" w:sz="0" w:space="0" w:color="auto"/>
                                                  </w:divBdr>
                                                </w:div>
                                                <w:div w:id="1711107800">
                                                  <w:marLeft w:val="0"/>
                                                  <w:marRight w:val="0"/>
                                                  <w:marTop w:val="0"/>
                                                  <w:marBottom w:val="0"/>
                                                  <w:divBdr>
                                                    <w:top w:val="none" w:sz="0" w:space="0" w:color="auto"/>
                                                    <w:left w:val="none" w:sz="0" w:space="0" w:color="auto"/>
                                                    <w:bottom w:val="none" w:sz="0" w:space="0" w:color="auto"/>
                                                    <w:right w:val="none" w:sz="0" w:space="0" w:color="auto"/>
                                                  </w:divBdr>
                                                </w:div>
                                                <w:div w:id="1711107801">
                                                  <w:marLeft w:val="0"/>
                                                  <w:marRight w:val="0"/>
                                                  <w:marTop w:val="0"/>
                                                  <w:marBottom w:val="0"/>
                                                  <w:divBdr>
                                                    <w:top w:val="none" w:sz="0" w:space="0" w:color="auto"/>
                                                    <w:left w:val="none" w:sz="0" w:space="0" w:color="auto"/>
                                                    <w:bottom w:val="none" w:sz="0" w:space="0" w:color="auto"/>
                                                    <w:right w:val="none" w:sz="0" w:space="0" w:color="auto"/>
                                                  </w:divBdr>
                                                </w:div>
                                                <w:div w:id="1711107802">
                                                  <w:marLeft w:val="0"/>
                                                  <w:marRight w:val="0"/>
                                                  <w:marTop w:val="0"/>
                                                  <w:marBottom w:val="0"/>
                                                  <w:divBdr>
                                                    <w:top w:val="none" w:sz="0" w:space="0" w:color="auto"/>
                                                    <w:left w:val="none" w:sz="0" w:space="0" w:color="auto"/>
                                                    <w:bottom w:val="none" w:sz="0" w:space="0" w:color="auto"/>
                                                    <w:right w:val="none" w:sz="0" w:space="0" w:color="auto"/>
                                                  </w:divBdr>
                                                </w:div>
                                                <w:div w:id="1711107804">
                                                  <w:marLeft w:val="0"/>
                                                  <w:marRight w:val="0"/>
                                                  <w:marTop w:val="0"/>
                                                  <w:marBottom w:val="0"/>
                                                  <w:divBdr>
                                                    <w:top w:val="none" w:sz="0" w:space="0" w:color="auto"/>
                                                    <w:left w:val="none" w:sz="0" w:space="0" w:color="auto"/>
                                                    <w:bottom w:val="none" w:sz="0" w:space="0" w:color="auto"/>
                                                    <w:right w:val="none" w:sz="0" w:space="0" w:color="auto"/>
                                                  </w:divBdr>
                                                </w:div>
                                                <w:div w:id="1711107806">
                                                  <w:marLeft w:val="0"/>
                                                  <w:marRight w:val="0"/>
                                                  <w:marTop w:val="0"/>
                                                  <w:marBottom w:val="0"/>
                                                  <w:divBdr>
                                                    <w:top w:val="none" w:sz="0" w:space="0" w:color="auto"/>
                                                    <w:left w:val="none" w:sz="0" w:space="0" w:color="auto"/>
                                                    <w:bottom w:val="none" w:sz="0" w:space="0" w:color="auto"/>
                                                    <w:right w:val="none" w:sz="0" w:space="0" w:color="auto"/>
                                                  </w:divBdr>
                                                </w:div>
                                                <w:div w:id="1711107809">
                                                  <w:marLeft w:val="0"/>
                                                  <w:marRight w:val="0"/>
                                                  <w:marTop w:val="0"/>
                                                  <w:marBottom w:val="0"/>
                                                  <w:divBdr>
                                                    <w:top w:val="none" w:sz="0" w:space="0" w:color="auto"/>
                                                    <w:left w:val="none" w:sz="0" w:space="0" w:color="auto"/>
                                                    <w:bottom w:val="none" w:sz="0" w:space="0" w:color="auto"/>
                                                    <w:right w:val="none" w:sz="0" w:space="0" w:color="auto"/>
                                                  </w:divBdr>
                                                </w:div>
                                                <w:div w:id="171110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2002169">
      <w:bodyDiv w:val="1"/>
      <w:marLeft w:val="0"/>
      <w:marRight w:val="0"/>
      <w:marTop w:val="0"/>
      <w:marBottom w:val="0"/>
      <w:divBdr>
        <w:top w:val="none" w:sz="0" w:space="0" w:color="auto"/>
        <w:left w:val="none" w:sz="0" w:space="0" w:color="auto"/>
        <w:bottom w:val="none" w:sz="0" w:space="0" w:color="auto"/>
        <w:right w:val="none" w:sz="0" w:space="0" w:color="auto"/>
      </w:divBdr>
    </w:div>
    <w:div w:id="1953779286">
      <w:bodyDiv w:val="1"/>
      <w:marLeft w:val="0"/>
      <w:marRight w:val="0"/>
      <w:marTop w:val="0"/>
      <w:marBottom w:val="0"/>
      <w:divBdr>
        <w:top w:val="none" w:sz="0" w:space="0" w:color="auto"/>
        <w:left w:val="none" w:sz="0" w:space="0" w:color="auto"/>
        <w:bottom w:val="none" w:sz="0" w:space="0" w:color="auto"/>
        <w:right w:val="none" w:sz="0" w:space="0" w:color="auto"/>
      </w:divBdr>
    </w:div>
    <w:div w:id="1957252438">
      <w:bodyDiv w:val="1"/>
      <w:marLeft w:val="0"/>
      <w:marRight w:val="0"/>
      <w:marTop w:val="0"/>
      <w:marBottom w:val="0"/>
      <w:divBdr>
        <w:top w:val="none" w:sz="0" w:space="0" w:color="auto"/>
        <w:left w:val="none" w:sz="0" w:space="0" w:color="auto"/>
        <w:bottom w:val="none" w:sz="0" w:space="0" w:color="auto"/>
        <w:right w:val="none" w:sz="0" w:space="0" w:color="auto"/>
      </w:divBdr>
    </w:div>
    <w:div w:id="2062903568">
      <w:bodyDiv w:val="1"/>
      <w:marLeft w:val="0"/>
      <w:marRight w:val="0"/>
      <w:marTop w:val="0"/>
      <w:marBottom w:val="0"/>
      <w:divBdr>
        <w:top w:val="none" w:sz="0" w:space="0" w:color="auto"/>
        <w:left w:val="none" w:sz="0" w:space="0" w:color="auto"/>
        <w:bottom w:val="none" w:sz="0" w:space="0" w:color="auto"/>
        <w:right w:val="none" w:sz="0" w:space="0" w:color="auto"/>
      </w:divBdr>
    </w:div>
    <w:div w:id="20802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yperlink" Target="http://www.giudicedipace.vicenza.it"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drea.chiavetta\Desktop\Documenti\Project\GP%20Vicenza\Linea%204%20-%20Bilancio%20Sociale\GdP%20Vicenza%20-%20BRS%20BOZZA%20v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roberta.albero\Desktop\GdP_CAVenezia_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it-IT" sz="1400"/>
              <a:t>Andamento della popolazione</a:t>
            </a:r>
          </a:p>
        </c:rich>
      </c:tx>
      <c:overlay val="0"/>
    </c:title>
    <c:autoTitleDeleted val="0"/>
    <c:plotArea>
      <c:layout/>
      <c:lineChart>
        <c:grouping val="standard"/>
        <c:varyColors val="0"/>
        <c:ser>
          <c:idx val="0"/>
          <c:order val="0"/>
          <c:marker>
            <c:symbol val="none"/>
          </c:marker>
          <c:dLbls>
            <c:dLblPos val="t"/>
            <c:showLegendKey val="0"/>
            <c:showVal val="1"/>
            <c:showCatName val="0"/>
            <c:showSerName val="0"/>
            <c:showPercent val="0"/>
            <c:showBubbleSize val="0"/>
            <c:showLeaderLines val="0"/>
          </c:dLbls>
          <c:cat>
            <c:numRef>
              <c:f>Sheet1!$D$70:$D$76</c:f>
              <c:numCache>
                <c:formatCode>General</c:formatCode>
                <c:ptCount val="7"/>
                <c:pt idx="0">
                  <c:v>2006</c:v>
                </c:pt>
                <c:pt idx="1">
                  <c:v>2007</c:v>
                </c:pt>
                <c:pt idx="2">
                  <c:v>2008</c:v>
                </c:pt>
                <c:pt idx="3">
                  <c:v>2009</c:v>
                </c:pt>
                <c:pt idx="4">
                  <c:v>2010</c:v>
                </c:pt>
                <c:pt idx="5">
                  <c:v>2011</c:v>
                </c:pt>
                <c:pt idx="6">
                  <c:v>2012</c:v>
                </c:pt>
              </c:numCache>
            </c:numRef>
          </c:cat>
          <c:val>
            <c:numRef>
              <c:f>Sheet1!$E$69:$E$75</c:f>
              <c:numCache>
                <c:formatCode>General</c:formatCode>
                <c:ptCount val="7"/>
                <c:pt idx="0">
                  <c:v>290366</c:v>
                </c:pt>
                <c:pt idx="1">
                  <c:v>292239</c:v>
                </c:pt>
                <c:pt idx="2">
                  <c:v>295336</c:v>
                </c:pt>
                <c:pt idx="3">
                  <c:v>298844</c:v>
                </c:pt>
                <c:pt idx="4">
                  <c:v>301096</c:v>
                </c:pt>
                <c:pt idx="5">
                  <c:v>303003</c:v>
                </c:pt>
                <c:pt idx="6">
                  <c:v>297167</c:v>
                </c:pt>
              </c:numCache>
            </c:numRef>
          </c:val>
          <c:smooth val="0"/>
        </c:ser>
        <c:dLbls>
          <c:showLegendKey val="0"/>
          <c:showVal val="0"/>
          <c:showCatName val="0"/>
          <c:showSerName val="0"/>
          <c:showPercent val="0"/>
          <c:showBubbleSize val="0"/>
        </c:dLbls>
        <c:marker val="1"/>
        <c:smooth val="0"/>
        <c:axId val="165627008"/>
        <c:axId val="165628544"/>
      </c:lineChart>
      <c:catAx>
        <c:axId val="165627008"/>
        <c:scaling>
          <c:orientation val="minMax"/>
        </c:scaling>
        <c:delete val="0"/>
        <c:axPos val="b"/>
        <c:numFmt formatCode="General" sourceLinked="1"/>
        <c:majorTickMark val="none"/>
        <c:minorTickMark val="none"/>
        <c:tickLblPos val="nextTo"/>
        <c:crossAx val="165628544"/>
        <c:crosses val="autoZero"/>
        <c:auto val="1"/>
        <c:lblAlgn val="ctr"/>
        <c:lblOffset val="100"/>
        <c:noMultiLvlLbl val="0"/>
      </c:catAx>
      <c:valAx>
        <c:axId val="165628544"/>
        <c:scaling>
          <c:orientation val="minMax"/>
          <c:max val="320000"/>
          <c:min val="260000"/>
        </c:scaling>
        <c:delete val="0"/>
        <c:axPos val="l"/>
        <c:majorGridlines/>
        <c:numFmt formatCode="General" sourceLinked="1"/>
        <c:majorTickMark val="none"/>
        <c:minorTickMark val="none"/>
        <c:tickLblPos val="nextTo"/>
        <c:spPr>
          <a:ln w="9525">
            <a:noFill/>
          </a:ln>
        </c:spPr>
        <c:crossAx val="1656270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A96D49-F1E4-4B64-9A55-0558AC393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GdP Vicenza - BRS BOZZA v2.dotx</Template>
  <TotalTime>0</TotalTime>
  <Pages>21</Pages>
  <Words>3548</Words>
  <Characters>20229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carta dei servizi del giudice di paci di vicenza</vt:lpstr>
    </vt:vector>
  </TitlesOfParts>
  <Company>Ernst &amp; Young</Company>
  <LinksUpToDate>false</LinksUpToDate>
  <CharactersWithSpaces>23730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dei servizi del giudice di paci di vicenza</dc:title>
  <dc:creator>Andrea Chiavetta</dc:creator>
  <cp:lastModifiedBy>Andrea Chiavetta</cp:lastModifiedBy>
  <cp:revision>2</cp:revision>
  <cp:lastPrinted>2013-09-23T12:41:00Z</cp:lastPrinted>
  <dcterms:created xsi:type="dcterms:W3CDTF">2013-10-14T09:04:00Z</dcterms:created>
  <dcterms:modified xsi:type="dcterms:W3CDTF">2013-10-14T09:04:00Z</dcterms:modified>
</cp:coreProperties>
</file>